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56" w:val="left" w:leader="none"/>
        </w:tabs>
        <w:spacing w:line="242" w:lineRule="auto" w:before="29"/>
        <w:ind w:left="117" w:right="0" w:firstLine="0"/>
        <w:jc w:val="left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37.063pt;margin-top:13.227315pt;width:.1pt;height:.1pt;mso-position-horizontal-relative:page;mso-position-vertical-relative:paragraph;z-index:-4600" coordorigin="741,265" coordsize="2,2">
            <v:shape style="position:absolute;left:741;top:265;width:2;height:2" coordorigin="741,265" coordsize="0,0" path="m741,265l741,265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235992pt;margin-top:13.227315pt;width:.1pt;height:.1pt;mso-position-horizontal-relative:page;mso-position-vertical-relative:paragraph;z-index:1120" coordorigin="3185,265" coordsize="2,2">
            <v:shape style="position:absolute;left:3185;top:265;width:2;height:2" coordorigin="3185,265" coordsize="0,0" path="m3185,265l3185,265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37.063pt;margin-top:25.227314pt;width:.1pt;height:.1pt;mso-position-horizontal-relative:page;mso-position-vertical-relative:paragraph;z-index:-4552" coordorigin="741,505" coordsize="2,2">
            <v:shape style="position:absolute;left:741;top:505;width:2;height:2" coordorigin="741,505" coordsize="0,0" path="m741,505l741,505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235992pt;margin-top:25.227314pt;width:.1pt;height:.1pt;mso-position-horizontal-relative:page;mso-position-vertical-relative:paragraph;z-index:1168" coordorigin="3185,505" coordsize="2,2">
            <v:shape style="position:absolute;left:3185;top:505;width:2;height:2" coordorigin="3185,505" coordsize="0,0" path="m3185,505l3185,505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shape style="position:absolute;margin-left:36.851002pt;margin-top:50.888416pt;width:82.2043pt;height:60.204pt;mso-position-horizontal-relative:page;mso-position-vertical-relative:paragraph;z-index:1192" type="#_x0000_t75" stroked="false">
            <v:imagedata r:id="rId5" o:title=""/>
          </v:shape>
        </w:pict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Kategorie B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</w:rPr>
        <w:t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PlusEnergieBauten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Migros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Bank-Sondersolarpreis</w:t>
      </w:r>
      <w:r>
        <w:rPr>
          <w:rFonts w:ascii="Theinhardt Regular" w:hAnsi="Theinhardt Regular"/>
          <w:color w:val="231F20"/>
          <w:spacing w:val="2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2018 für </w:t>
      </w:r>
      <w:r>
        <w:rPr>
          <w:rFonts w:ascii="Theinhardt Regular" w:hAnsi="Theinhardt Regular"/>
          <w:color w:val="231F20"/>
          <w:spacing w:val="-1"/>
          <w:sz w:val="18"/>
        </w:rPr>
        <w:t>PEB-MFH</w:t>
      </w:r>
      <w:r>
        <w:rPr>
          <w:rFonts w:ascii="Theinhardt Regular" w:hAnsi="Theinhardt Regular"/>
          <w:sz w:val="18"/>
        </w:rPr>
      </w:r>
    </w:p>
    <w:p>
      <w:pPr>
        <w:spacing w:line="240" w:lineRule="exact" w:before="12"/>
        <w:ind w:left="117" w:right="118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PlusEnergie-Überbauung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Thurgauer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Gemeinde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Tobel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drei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Mehrfamilienhäusern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(MFH)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Wohnungen wurde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2017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fertig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gestellt.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gut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gedämmten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Minergie-P-Wohnun-</w:t>
      </w:r>
      <w:r>
        <w:rPr>
          <w:rFonts w:ascii="Theinhardt Bold" w:hAnsi="Theinhardt Bold" w:cs="Theinhardt Bold" w:eastAsia="Theinhardt Bold"/>
          <w:b/>
          <w:bCs/>
          <w:color w:val="231F20"/>
          <w:spacing w:val="5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gen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benötigen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insgesamt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133’300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erzeugen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209’400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Solarstromüber-</w:t>
      </w:r>
      <w:r>
        <w:rPr>
          <w:rFonts w:ascii="Theinhardt Bold" w:hAnsi="Theinhardt Bold" w:cs="Theinhardt Bold" w:eastAsia="Theinhardt Bold"/>
          <w:b/>
          <w:bCs/>
          <w:color w:val="231F20"/>
          <w:spacing w:val="3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schuss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76’000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ermöglicht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jeder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Wohnung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solarbetriebenes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Elektroauto,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welches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12’000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km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231F20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-frei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fahren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kann.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Einmalig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Europa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sind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tiefen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Mietzinse,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sogar</w:t>
      </w:r>
      <w:r>
        <w:rPr>
          <w:rFonts w:ascii="Theinhardt Bold" w:hAnsi="Theinhardt Bold" w:cs="Theinhardt Bold" w:eastAsia="Theinhardt Bold"/>
          <w:b/>
          <w:bCs/>
          <w:color w:val="231F20"/>
          <w:spacing w:val="6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gut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20%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unter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quartierüblichen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Mietzinse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vergleichbare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Wohnungen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Region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Wil/SG</w:t>
      </w:r>
      <w:r>
        <w:rPr>
          <w:rFonts w:ascii="Theinhardt Bold" w:hAnsi="Theinhardt Bold" w:cs="Theinhardt Bold" w:eastAsia="Theinhardt Bold"/>
          <w:b/>
          <w:bCs/>
          <w:color w:val="231F20"/>
          <w:spacing w:val="5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liegen.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 Überbauung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verdient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Migros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Bank-Sondersolarpreis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für PEB-MFH.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4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2250" w:h="17180"/>
          <w:pgMar w:top="1040" w:bottom="280" w:left="620" w:right="900"/>
          <w:cols w:num="2" w:equalWidth="0">
            <w:col w:w="2557" w:space="122"/>
            <w:col w:w="805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7"/>
        <w:rPr>
          <w:rFonts w:ascii="Theinhardt Bold" w:hAnsi="Theinhardt Bold" w:cs="Theinhardt Bold" w:eastAsia="Theinhardt Bold"/>
          <w:b/>
          <w:bCs/>
          <w:sz w:val="14"/>
          <w:szCs w:val="14"/>
        </w:rPr>
      </w:pPr>
    </w:p>
    <w:p>
      <w:pPr>
        <w:spacing w:before="5"/>
        <w:ind w:left="117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 w:hAnsi="Theinhardt Black"/>
          <w:b/>
          <w:color w:val="0067B1"/>
          <w:spacing w:val="-4"/>
          <w:sz w:val="40"/>
        </w:rPr>
        <w:t>157%</w:t>
      </w:r>
      <w:r>
        <w:rPr>
          <w:rFonts w:ascii="Theinhardt Black" w:hAnsi="Theinhardt Black"/>
          <w:b/>
          <w:color w:val="0067B1"/>
          <w:spacing w:val="-1"/>
          <w:sz w:val="40"/>
        </w:rPr>
        <w:t>-</w:t>
      </w:r>
      <w:r>
        <w:rPr>
          <w:rFonts w:ascii="Theinhardt Black" w:hAnsi="Theinhardt Black"/>
          <w:b/>
          <w:color w:val="0067B1"/>
          <w:sz w:val="40"/>
        </w:rPr>
        <w:t>P</w:t>
      </w:r>
      <w:r>
        <w:rPr>
          <w:rFonts w:ascii="Theinhardt Black" w:hAnsi="Theinhardt Black"/>
          <w:b/>
          <w:color w:val="0067B1"/>
          <w:spacing w:val="-2"/>
          <w:sz w:val="40"/>
        </w:rPr>
        <w:t>l</w:t>
      </w:r>
      <w:r>
        <w:rPr>
          <w:rFonts w:ascii="Theinhardt Black" w:hAnsi="Theinhardt Black"/>
          <w:b/>
          <w:color w:val="0067B1"/>
          <w:spacing w:val="4"/>
          <w:sz w:val="40"/>
        </w:rPr>
        <w:t>u</w:t>
      </w:r>
      <w:r>
        <w:rPr>
          <w:rFonts w:ascii="Theinhardt Black" w:hAnsi="Theinhardt Black"/>
          <w:b/>
          <w:color w:val="0067B1"/>
          <w:spacing w:val="-4"/>
          <w:sz w:val="40"/>
        </w:rPr>
        <w:t>s</w:t>
      </w:r>
      <w:r>
        <w:rPr>
          <w:rFonts w:ascii="Theinhardt Black" w:hAnsi="Theinhardt Black"/>
          <w:b/>
          <w:color w:val="0067B1"/>
          <w:sz w:val="40"/>
        </w:rPr>
        <w:t>E</w:t>
      </w:r>
      <w:r>
        <w:rPr>
          <w:rFonts w:ascii="Theinhardt Black" w:hAnsi="Theinhardt Black"/>
          <w:b/>
          <w:color w:val="0067B1"/>
          <w:spacing w:val="-3"/>
          <w:sz w:val="40"/>
        </w:rPr>
        <w:t>n</w:t>
      </w:r>
      <w:r>
        <w:rPr>
          <w:rFonts w:ascii="Theinhardt Black" w:hAnsi="Theinhardt Black"/>
          <w:b/>
          <w:color w:val="0067B1"/>
          <w:spacing w:val="-2"/>
          <w:sz w:val="40"/>
        </w:rPr>
        <w:t>e</w:t>
      </w:r>
      <w:r>
        <w:rPr>
          <w:rFonts w:ascii="Theinhardt Black" w:hAnsi="Theinhardt Black"/>
          <w:b/>
          <w:color w:val="0067B1"/>
          <w:spacing w:val="4"/>
          <w:sz w:val="40"/>
        </w:rPr>
        <w:t>r</w:t>
      </w:r>
      <w:r>
        <w:rPr>
          <w:rFonts w:ascii="Theinhardt Black" w:hAnsi="Theinhardt Black"/>
          <w:b/>
          <w:color w:val="0067B1"/>
          <w:spacing w:val="-2"/>
          <w:sz w:val="40"/>
        </w:rPr>
        <w:t>gi</w:t>
      </w:r>
      <w:r>
        <w:rPr>
          <w:rFonts w:ascii="Theinhardt Black" w:hAnsi="Theinhardt Black"/>
          <w:b/>
          <w:color w:val="0067B1"/>
          <w:spacing w:val="-4"/>
          <w:sz w:val="40"/>
        </w:rPr>
        <w:t>e</w:t>
      </w:r>
      <w:r>
        <w:rPr>
          <w:rFonts w:ascii="Theinhardt Black" w:hAnsi="Theinhardt Black"/>
          <w:b/>
          <w:color w:val="0067B1"/>
          <w:sz w:val="40"/>
        </w:rPr>
        <w:t>-</w:t>
      </w:r>
      <w:r>
        <w:rPr>
          <w:rFonts w:ascii="Theinhardt Black" w:hAnsi="Theinhardt Black"/>
          <w:b/>
          <w:color w:val="0067B1"/>
          <w:spacing w:val="-2"/>
          <w:sz w:val="40"/>
        </w:rPr>
        <w:t>M</w:t>
      </w:r>
      <w:r>
        <w:rPr>
          <w:rFonts w:ascii="Theinhardt Black" w:hAnsi="Theinhardt Black"/>
          <w:b/>
          <w:color w:val="0067B1"/>
          <w:spacing w:val="-6"/>
          <w:sz w:val="40"/>
        </w:rPr>
        <w:t>F</w:t>
      </w:r>
      <w:r>
        <w:rPr>
          <w:rFonts w:ascii="Theinhardt Black" w:hAnsi="Theinhardt Black"/>
          <w:b/>
          <w:color w:val="0067B1"/>
          <w:sz w:val="40"/>
        </w:rPr>
        <w:t>H</w:t>
      </w:r>
      <w:r>
        <w:rPr>
          <w:rFonts w:ascii="Theinhardt Black" w:hAnsi="Theinhardt Black"/>
          <w:b/>
          <w:color w:val="0067B1"/>
          <w:spacing w:val="-8"/>
          <w:sz w:val="40"/>
        </w:rPr>
        <w:t> </w:t>
      </w:r>
      <w:r>
        <w:rPr>
          <w:rFonts w:ascii="Theinhardt Black" w:hAnsi="Theinhardt Black"/>
          <w:b/>
          <w:color w:val="0067B1"/>
          <w:spacing w:val="2"/>
          <w:sz w:val="40"/>
        </w:rPr>
        <w:t>Ü</w:t>
      </w:r>
      <w:r>
        <w:rPr>
          <w:rFonts w:ascii="Theinhardt Black" w:hAnsi="Theinhardt Black"/>
          <w:b/>
          <w:color w:val="0067B1"/>
          <w:spacing w:val="1"/>
          <w:sz w:val="40"/>
        </w:rPr>
        <w:t>b</w:t>
      </w:r>
      <w:r>
        <w:rPr>
          <w:rFonts w:ascii="Theinhardt Black" w:hAnsi="Theinhardt Black"/>
          <w:b/>
          <w:color w:val="0067B1"/>
          <w:spacing w:val="-2"/>
          <w:sz w:val="40"/>
        </w:rPr>
        <w:t>e</w:t>
      </w:r>
      <w:r>
        <w:rPr>
          <w:rFonts w:ascii="Theinhardt Black" w:hAnsi="Theinhardt Black"/>
          <w:b/>
          <w:color w:val="0067B1"/>
          <w:spacing w:val="6"/>
          <w:sz w:val="40"/>
        </w:rPr>
        <w:t>r</w:t>
      </w:r>
      <w:r>
        <w:rPr>
          <w:rFonts w:ascii="Theinhardt Black" w:hAnsi="Theinhardt Black"/>
          <w:b/>
          <w:color w:val="0067B1"/>
          <w:spacing w:val="4"/>
          <w:sz w:val="40"/>
        </w:rPr>
        <w:t>b</w:t>
      </w:r>
      <w:r>
        <w:rPr>
          <w:rFonts w:ascii="Theinhardt Black" w:hAnsi="Theinhardt Black"/>
          <w:b/>
          <w:color w:val="0067B1"/>
          <w:sz w:val="40"/>
        </w:rPr>
        <w:t>a</w:t>
      </w:r>
      <w:r>
        <w:rPr>
          <w:rFonts w:ascii="Theinhardt Black" w:hAnsi="Theinhardt Black"/>
          <w:b/>
          <w:color w:val="0067B1"/>
          <w:spacing w:val="-3"/>
          <w:sz w:val="40"/>
        </w:rPr>
        <w:t>u</w:t>
      </w:r>
      <w:r>
        <w:rPr>
          <w:rFonts w:ascii="Theinhardt Black" w:hAnsi="Theinhardt Black"/>
          <w:b/>
          <w:color w:val="0067B1"/>
          <w:spacing w:val="-2"/>
          <w:sz w:val="40"/>
        </w:rPr>
        <w:t>u</w:t>
      </w:r>
      <w:r>
        <w:rPr>
          <w:rFonts w:ascii="Theinhardt Black" w:hAnsi="Theinhardt Black"/>
          <w:b/>
          <w:color w:val="0067B1"/>
          <w:spacing w:val="-3"/>
          <w:sz w:val="40"/>
        </w:rPr>
        <w:t>n</w:t>
      </w:r>
      <w:r>
        <w:rPr>
          <w:rFonts w:ascii="Theinhardt Black" w:hAnsi="Theinhardt Black"/>
          <w:b/>
          <w:color w:val="0067B1"/>
          <w:spacing w:val="-4"/>
          <w:sz w:val="40"/>
        </w:rPr>
        <w:t>g</w:t>
      </w:r>
      <w:r>
        <w:rPr>
          <w:rFonts w:ascii="Theinhardt Black" w:hAnsi="Theinhardt Black"/>
          <w:b/>
          <w:color w:val="0067B1"/>
          <w:sz w:val="40"/>
        </w:rPr>
        <w:t>,</w:t>
      </w:r>
      <w:r>
        <w:rPr>
          <w:rFonts w:ascii="Theinhardt Black" w:hAnsi="Theinhardt Black"/>
          <w:b/>
          <w:color w:val="0067B1"/>
          <w:spacing w:val="-32"/>
          <w:sz w:val="40"/>
        </w:rPr>
        <w:t> </w:t>
      </w:r>
      <w:r>
        <w:rPr>
          <w:rFonts w:ascii="Theinhardt Black" w:hAnsi="Theinhardt Black"/>
          <w:b/>
          <w:color w:val="0067B1"/>
          <w:spacing w:val="-4"/>
          <w:sz w:val="40"/>
        </w:rPr>
        <w:t>955</w:t>
      </w:r>
      <w:r>
        <w:rPr>
          <w:rFonts w:ascii="Theinhardt Black" w:hAnsi="Theinhardt Black"/>
          <w:b/>
          <w:color w:val="0067B1"/>
          <w:sz w:val="40"/>
        </w:rPr>
        <w:t>5</w:t>
      </w:r>
      <w:r>
        <w:rPr>
          <w:rFonts w:ascii="Theinhardt Black" w:hAnsi="Theinhardt Black"/>
          <w:b/>
          <w:color w:val="0067B1"/>
          <w:spacing w:val="-32"/>
          <w:sz w:val="40"/>
        </w:rPr>
        <w:t> </w:t>
      </w:r>
      <w:r>
        <w:rPr>
          <w:rFonts w:ascii="Theinhardt Black" w:hAnsi="Theinhardt Black"/>
          <w:b/>
          <w:color w:val="0067B1"/>
          <w:spacing w:val="-30"/>
          <w:sz w:val="40"/>
        </w:rPr>
        <w:t>T</w:t>
      </w:r>
      <w:r>
        <w:rPr>
          <w:rFonts w:ascii="Theinhardt Black" w:hAnsi="Theinhardt Black"/>
          <w:b/>
          <w:color w:val="0067B1"/>
          <w:spacing w:val="-2"/>
          <w:sz w:val="40"/>
        </w:rPr>
        <w:t>o</w:t>
      </w:r>
      <w:r>
        <w:rPr>
          <w:rFonts w:ascii="Theinhardt Black" w:hAnsi="Theinhardt Black"/>
          <w:b/>
          <w:color w:val="0067B1"/>
          <w:spacing w:val="2"/>
          <w:sz w:val="40"/>
        </w:rPr>
        <w:t>b</w:t>
      </w:r>
      <w:r>
        <w:rPr>
          <w:rFonts w:ascii="Theinhardt Black" w:hAnsi="Theinhardt Black"/>
          <w:b/>
          <w:color w:val="0067B1"/>
          <w:spacing w:val="-2"/>
          <w:sz w:val="40"/>
        </w:rPr>
        <w:t>e</w:t>
      </w:r>
      <w:r>
        <w:rPr>
          <w:rFonts w:ascii="Theinhardt Black" w:hAnsi="Theinhardt Black"/>
          <w:b/>
          <w:color w:val="0067B1"/>
          <w:spacing w:val="7"/>
          <w:sz w:val="40"/>
        </w:rPr>
        <w:t>l</w:t>
      </w:r>
      <w:r>
        <w:rPr>
          <w:rFonts w:ascii="Theinhardt Black" w:hAnsi="Theinhardt Black"/>
          <w:b/>
          <w:color w:val="0067B1"/>
          <w:spacing w:val="18"/>
          <w:sz w:val="40"/>
        </w:rPr>
        <w:t>/</w:t>
      </w:r>
      <w:r>
        <w:rPr>
          <w:rFonts w:ascii="Theinhardt Black" w:hAnsi="Theinhardt Black"/>
          <w:b/>
          <w:color w:val="0067B1"/>
          <w:spacing w:val="-8"/>
          <w:sz w:val="40"/>
        </w:rPr>
        <w:t>T</w:t>
      </w:r>
      <w:r>
        <w:rPr>
          <w:rFonts w:ascii="Theinhardt Black" w:hAnsi="Theinhardt Black"/>
          <w:b/>
          <w:color w:val="0067B1"/>
          <w:sz w:val="40"/>
        </w:rPr>
        <w:t>G</w:t>
      </w:r>
      <w:r>
        <w:rPr>
          <w:rFonts w:ascii="Theinhardt Black" w:hAns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2250" w:h="17180"/>
          <w:pgMar w:top="1040" w:bottom="280" w:left="620" w:right="900"/>
        </w:sectPr>
      </w:pPr>
    </w:p>
    <w:p>
      <w:pPr>
        <w:pStyle w:val="BodyText"/>
        <w:spacing w:line="230" w:lineRule="exact" w:before="52"/>
        <w:ind w:right="0" w:firstLine="0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-14"/>
        </w:rPr>
        <w:t> </w:t>
      </w:r>
      <w:r>
        <w:rPr>
          <w:color w:val="231F20"/>
        </w:rPr>
        <w:t>Mehrfamilienhäuser</w:t>
      </w:r>
      <w:r>
        <w:rPr>
          <w:color w:val="231F20"/>
          <w:spacing w:val="-14"/>
        </w:rPr>
        <w:t> </w:t>
      </w:r>
      <w:r>
        <w:rPr>
          <w:color w:val="231F20"/>
        </w:rPr>
        <w:t>sind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zwei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langge-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streckte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viergeschossige</w:t>
      </w:r>
      <w:r>
        <w:rPr>
          <w:color w:val="231F20"/>
          <w:spacing w:val="-9"/>
        </w:rPr>
        <w:t> </w:t>
      </w:r>
      <w:r>
        <w:rPr>
          <w:color w:val="231F20"/>
        </w:rPr>
        <w:t>und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einem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mehr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kubischen</w:t>
      </w:r>
      <w:r>
        <w:rPr>
          <w:color w:val="231F20"/>
        </w:rPr>
        <w:t> </w:t>
      </w:r>
      <w:r>
        <w:rPr>
          <w:color w:val="231F20"/>
          <w:spacing w:val="-1"/>
        </w:rPr>
        <w:t>fünfgeschossigen</w:t>
      </w:r>
      <w:r>
        <w:rPr>
          <w:color w:val="231F20"/>
        </w:rPr>
        <w:t> </w:t>
      </w:r>
      <w:r>
        <w:rPr>
          <w:color w:val="231F20"/>
          <w:spacing w:val="-1"/>
        </w:rPr>
        <w:t>Baukörper</w:t>
      </w:r>
      <w:r>
        <w:rPr>
          <w:color w:val="231F20"/>
        </w:rPr>
        <w:t> ge-</w:t>
      </w:r>
      <w:r>
        <w:rPr>
          <w:color w:val="231F20"/>
          <w:spacing w:val="51"/>
        </w:rPr>
        <w:t> </w:t>
      </w:r>
      <w:r>
        <w:rPr>
          <w:color w:val="231F20"/>
          <w:spacing w:val="1"/>
        </w:rPr>
        <w:t>gliedert.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Straßenseitig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wird</w:t>
      </w:r>
      <w:r>
        <w:rPr>
          <w:color w:val="231F20"/>
          <w:spacing w:val="30"/>
        </w:rPr>
        <w:t> </w:t>
      </w:r>
      <w:r>
        <w:rPr>
          <w:color w:val="231F20"/>
        </w:rPr>
        <w:t>die</w:t>
      </w:r>
      <w:r>
        <w:rPr>
          <w:color w:val="231F20"/>
          <w:spacing w:val="29"/>
        </w:rPr>
        <w:t> </w:t>
      </w:r>
      <w:r>
        <w:rPr>
          <w:color w:val="231F20"/>
        </w:rPr>
        <w:t>Flucht</w:t>
      </w:r>
      <w:r>
        <w:rPr>
          <w:color w:val="231F20"/>
          <w:spacing w:val="30"/>
        </w:rPr>
        <w:t> </w:t>
      </w:r>
      <w:r>
        <w:rPr>
          <w:color w:val="231F20"/>
        </w:rPr>
        <w:t>von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geschlossenen</w:t>
      </w:r>
      <w:r>
        <w:rPr>
          <w:color w:val="231F20"/>
          <w:spacing w:val="43"/>
        </w:rPr>
        <w:t> </w:t>
      </w:r>
      <w:r>
        <w:rPr>
          <w:color w:val="231F20"/>
        </w:rPr>
        <w:t>Balkonbrüstungen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bandar-</w:t>
      </w:r>
      <w:r>
        <w:rPr>
          <w:color w:val="231F20"/>
          <w:spacing w:val="29"/>
        </w:rPr>
        <w:t> </w:t>
      </w:r>
      <w:r>
        <w:rPr>
          <w:color w:val="231F20"/>
        </w:rPr>
        <w:t>tig</w:t>
      </w:r>
      <w:r>
        <w:rPr>
          <w:color w:val="231F20"/>
          <w:spacing w:val="21"/>
        </w:rPr>
        <w:t> </w:t>
      </w:r>
      <w:r>
        <w:rPr>
          <w:color w:val="231F20"/>
        </w:rPr>
        <w:t>betont,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während</w:t>
      </w:r>
      <w:r>
        <w:rPr>
          <w:color w:val="231F20"/>
          <w:spacing w:val="21"/>
        </w:rPr>
        <w:t> </w:t>
      </w:r>
      <w:r>
        <w:rPr>
          <w:color w:val="231F20"/>
        </w:rPr>
        <w:t>in</w:t>
      </w:r>
      <w:r>
        <w:rPr>
          <w:color w:val="231F20"/>
          <w:spacing w:val="21"/>
        </w:rPr>
        <w:t> </w:t>
      </w:r>
      <w:r>
        <w:rPr>
          <w:color w:val="231F20"/>
        </w:rPr>
        <w:t>den</w:t>
      </w:r>
      <w:r>
        <w:rPr>
          <w:color w:val="231F20"/>
          <w:spacing w:val="21"/>
        </w:rPr>
        <w:t> </w:t>
      </w:r>
      <w:r>
        <w:rPr>
          <w:color w:val="231F20"/>
        </w:rPr>
        <w:t>übrigen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Fassa-</w:t>
      </w:r>
      <w:r>
        <w:rPr>
          <w:color w:val="231F20"/>
          <w:spacing w:val="28"/>
        </w:rPr>
        <w:t> </w:t>
      </w:r>
      <w:r>
        <w:rPr>
          <w:color w:val="231F20"/>
        </w:rPr>
        <w:t>den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Fensterbänder</w:t>
      </w:r>
      <w:r>
        <w:rPr>
          <w:color w:val="231F20"/>
          <w:spacing w:val="31"/>
        </w:rPr>
        <w:t> </w:t>
      </w:r>
      <w:r>
        <w:rPr>
          <w:color w:val="231F20"/>
        </w:rPr>
        <w:t>die</w:t>
      </w:r>
      <w:r>
        <w:rPr>
          <w:color w:val="231F20"/>
          <w:spacing w:val="30"/>
        </w:rPr>
        <w:t> </w:t>
      </w:r>
      <w:r>
        <w:rPr>
          <w:color w:val="231F20"/>
        </w:rPr>
        <w:t>Öffnungen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zusam-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menfassen.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Flachdächer</w:t>
      </w:r>
      <w:r>
        <w:rPr>
          <w:color w:val="231F20"/>
          <w:spacing w:val="-8"/>
        </w:rPr>
        <w:t> </w:t>
      </w:r>
      <w:r>
        <w:rPr>
          <w:color w:val="231F20"/>
        </w:rPr>
        <w:t>sind</w:t>
      </w:r>
      <w:r>
        <w:rPr>
          <w:color w:val="231F20"/>
          <w:spacing w:val="-8"/>
        </w:rPr>
        <w:t> </w:t>
      </w:r>
      <w:r>
        <w:rPr>
          <w:color w:val="231F20"/>
        </w:rPr>
        <w:t>vollflächig</w:t>
      </w:r>
      <w:r>
        <w:rPr>
          <w:color w:val="231F20"/>
          <w:spacing w:val="43"/>
        </w:rPr>
        <w:t> </w:t>
      </w:r>
      <w:r>
        <w:rPr>
          <w:color w:val="231F20"/>
        </w:rPr>
        <w:t>mit</w:t>
      </w:r>
      <w:r>
        <w:rPr>
          <w:color w:val="231F20"/>
          <w:spacing w:val="8"/>
        </w:rPr>
        <w:t> </w:t>
      </w:r>
      <w:r>
        <w:rPr>
          <w:color w:val="231F20"/>
        </w:rPr>
        <w:t>Photovoltaikmodulen</w:t>
      </w:r>
      <w:r>
        <w:rPr>
          <w:color w:val="231F20"/>
          <w:spacing w:val="8"/>
        </w:rPr>
        <w:t> </w:t>
      </w:r>
      <w:r>
        <w:rPr>
          <w:color w:val="231F20"/>
        </w:rPr>
        <w:t>bedeckt,</w:t>
      </w:r>
      <w:r>
        <w:rPr>
          <w:color w:val="231F20"/>
          <w:spacing w:val="-3"/>
        </w:rPr>
        <w:t> </w:t>
      </w:r>
      <w:r>
        <w:rPr>
          <w:color w:val="231F20"/>
        </w:rPr>
        <w:t>die</w:t>
      </w:r>
      <w:r>
        <w:rPr>
          <w:color w:val="231F20"/>
          <w:spacing w:val="8"/>
        </w:rPr>
        <w:t> </w:t>
      </w:r>
      <w:r>
        <w:rPr>
          <w:color w:val="231F20"/>
        </w:rPr>
        <w:t>bün-</w:t>
      </w:r>
      <w:r>
        <w:rPr>
          <w:color w:val="231F20"/>
          <w:spacing w:val="29"/>
        </w:rPr>
        <w:t> </w:t>
      </w:r>
      <w:r>
        <w:rPr>
          <w:color w:val="231F20"/>
        </w:rPr>
        <w:t>dig</w:t>
      </w:r>
      <w:r>
        <w:rPr>
          <w:color w:val="231F20"/>
          <w:spacing w:val="3"/>
        </w:rPr>
        <w:t> </w:t>
      </w:r>
      <w:r>
        <w:rPr>
          <w:color w:val="231F20"/>
        </w:rPr>
        <w:t>mit</w:t>
      </w:r>
      <w:r>
        <w:rPr>
          <w:color w:val="231F20"/>
          <w:spacing w:val="3"/>
        </w:rPr>
        <w:t> </w:t>
      </w:r>
      <w:r>
        <w:rPr>
          <w:color w:val="231F20"/>
        </w:rPr>
        <w:t>einer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schmalen</w:t>
      </w:r>
      <w:r>
        <w:rPr>
          <w:color w:val="231F20"/>
          <w:spacing w:val="3"/>
        </w:rPr>
        <w:t> </w:t>
      </w:r>
      <w:r>
        <w:rPr>
          <w:color w:val="231F20"/>
        </w:rPr>
        <w:t>Metallaufkantung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abschließen.</w:t>
      </w:r>
      <w:r>
        <w:rPr>
          <w:color w:val="231F20"/>
          <w:spacing w:val="28"/>
        </w:rPr>
        <w:t> </w:t>
      </w:r>
      <w:r>
        <w:rPr>
          <w:color w:val="231F20"/>
        </w:rPr>
        <w:t>Dabei</w:t>
      </w:r>
      <w:r>
        <w:rPr>
          <w:color w:val="231F20"/>
          <w:spacing w:val="39"/>
        </w:rPr>
        <w:t> </w:t>
      </w:r>
      <w:r>
        <w:rPr>
          <w:color w:val="231F20"/>
        </w:rPr>
        <w:t>resultiert</w:t>
      </w:r>
      <w:r>
        <w:rPr>
          <w:color w:val="231F20"/>
          <w:spacing w:val="38"/>
        </w:rPr>
        <w:t> </w:t>
      </w:r>
      <w:r>
        <w:rPr>
          <w:color w:val="231F20"/>
        </w:rPr>
        <w:t>die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Flächen-</w:t>
      </w:r>
      <w:r>
        <w:rPr>
          <w:color w:val="231F20"/>
          <w:spacing w:val="44"/>
        </w:rPr>
        <w:t> </w:t>
      </w:r>
      <w:r>
        <w:rPr>
          <w:color w:val="231F20"/>
        </w:rPr>
        <w:t>gliederung</w:t>
      </w:r>
      <w:r>
        <w:rPr>
          <w:color w:val="231F20"/>
          <w:spacing w:val="-5"/>
        </w:rPr>
        <w:t> </w:t>
      </w:r>
      <w:r>
        <w:rPr>
          <w:color w:val="231F20"/>
        </w:rPr>
        <w:t>aus</w:t>
      </w:r>
      <w:r>
        <w:rPr>
          <w:color w:val="231F20"/>
          <w:spacing w:val="-5"/>
        </w:rPr>
        <w:t> </w:t>
      </w:r>
      <w:r>
        <w:rPr>
          <w:color w:val="231F20"/>
        </w:rPr>
        <w:t>einer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schlüssigen</w:t>
      </w:r>
      <w:r>
        <w:rPr>
          <w:color w:val="231F20"/>
          <w:spacing w:val="-5"/>
        </w:rPr>
        <w:t> </w:t>
      </w:r>
      <w:r>
        <w:rPr>
          <w:color w:val="231F20"/>
        </w:rPr>
        <w:t>funktiona-</w:t>
      </w:r>
      <w:r>
        <w:rPr>
          <w:color w:val="231F20"/>
          <w:spacing w:val="20"/>
        </w:rPr>
        <w:t> </w:t>
      </w:r>
      <w:r>
        <w:rPr>
          <w:color w:val="231F20"/>
        </w:rPr>
        <w:t>len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Zonierung.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Insgesamt</w:t>
      </w:r>
      <w:r>
        <w:rPr>
          <w:color w:val="231F20"/>
          <w:spacing w:val="11"/>
        </w:rPr>
        <w:t> </w:t>
      </w:r>
      <w:r>
        <w:rPr>
          <w:color w:val="231F20"/>
        </w:rPr>
        <w:t>bleiben</w:t>
      </w:r>
      <w:r>
        <w:rPr>
          <w:color w:val="231F20"/>
          <w:spacing w:val="11"/>
        </w:rPr>
        <w:t> </w:t>
      </w:r>
      <w:r>
        <w:rPr>
          <w:color w:val="231F20"/>
        </w:rPr>
        <w:t>Baumas-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sengliederung</w:t>
      </w:r>
      <w:r>
        <w:rPr>
          <w:color w:val="231F20"/>
          <w:spacing w:val="25"/>
        </w:rPr>
        <w:t> </w:t>
      </w:r>
      <w:r>
        <w:rPr>
          <w:color w:val="231F20"/>
        </w:rPr>
        <w:t>wie</w:t>
      </w:r>
      <w:r>
        <w:rPr>
          <w:color w:val="231F20"/>
          <w:spacing w:val="26"/>
        </w:rPr>
        <w:t> </w:t>
      </w:r>
      <w:r>
        <w:rPr>
          <w:color w:val="231F20"/>
        </w:rPr>
        <w:t>auch</w:t>
      </w:r>
      <w:r>
        <w:rPr>
          <w:color w:val="231F20"/>
          <w:spacing w:val="25"/>
        </w:rPr>
        <w:t> </w:t>
      </w:r>
      <w:r>
        <w:rPr>
          <w:color w:val="231F20"/>
        </w:rPr>
        <w:t>Materialisierung</w:t>
      </w:r>
      <w:r>
        <w:rPr>
          <w:color w:val="231F20"/>
          <w:spacing w:val="28"/>
        </w:rPr>
        <w:t> </w:t>
      </w:r>
      <w:r>
        <w:rPr>
          <w:color w:val="231F20"/>
        </w:rPr>
        <w:t>und</w:t>
      </w:r>
      <w:r>
        <w:rPr>
          <w:color w:val="231F20"/>
          <w:spacing w:val="43"/>
        </w:rPr>
        <w:t> </w:t>
      </w:r>
      <w:r>
        <w:rPr>
          <w:color w:val="231F20"/>
        </w:rPr>
        <w:t>Detaillierung</w:t>
      </w:r>
      <w:r>
        <w:rPr>
          <w:color w:val="231F20"/>
          <w:spacing w:val="44"/>
        </w:rPr>
        <w:t> </w:t>
      </w:r>
      <w:r>
        <w:rPr>
          <w:color w:val="231F20"/>
        </w:rPr>
        <w:t>von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Fassaden</w:t>
      </w:r>
      <w:r>
        <w:rPr>
          <w:color w:val="231F20"/>
          <w:spacing w:val="44"/>
        </w:rPr>
        <w:t> </w:t>
      </w:r>
      <w:r>
        <w:rPr>
          <w:color w:val="231F20"/>
        </w:rPr>
        <w:t>und</w:t>
      </w:r>
      <w:r>
        <w:rPr>
          <w:color w:val="231F20"/>
          <w:spacing w:val="44"/>
        </w:rPr>
        <w:t> </w:t>
      </w:r>
      <w:r>
        <w:rPr>
          <w:color w:val="231F20"/>
        </w:rPr>
        <w:t>Öff-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nungsrändern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6"/>
        </w:rPr>
        <w:t> </w:t>
      </w:r>
      <w:r>
        <w:rPr>
          <w:color w:val="231F20"/>
        </w:rPr>
        <w:t>einem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konventionelleren</w:t>
      </w:r>
      <w:r>
        <w:rPr>
          <w:color w:val="231F20"/>
          <w:spacing w:val="27"/>
        </w:rPr>
        <w:t> </w:t>
      </w:r>
      <w:r>
        <w:rPr>
          <w:color w:val="231F20"/>
        </w:rPr>
        <w:t>Rahmen.</w:t>
      </w:r>
      <w:r>
        <w:rPr>
          <w:color w:val="231F20"/>
          <w:spacing w:val="1"/>
        </w:rPr>
        <w:t> </w:t>
      </w:r>
      <w:r>
        <w:rPr>
          <w:color w:val="231F20"/>
        </w:rPr>
        <w:t>Eine</w:t>
      </w:r>
      <w:r>
        <w:rPr>
          <w:color w:val="231F20"/>
          <w:spacing w:val="11"/>
        </w:rPr>
        <w:t> </w:t>
      </w:r>
      <w:r>
        <w:rPr>
          <w:color w:val="231F20"/>
        </w:rPr>
        <w:t>etwas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differenziertere</w:t>
      </w:r>
      <w:r>
        <w:rPr>
          <w:color w:val="231F20"/>
          <w:spacing w:val="11"/>
        </w:rPr>
        <w:t> </w:t>
      </w:r>
      <w:r>
        <w:rPr>
          <w:color w:val="231F20"/>
        </w:rPr>
        <w:t>Be-</w:t>
      </w:r>
      <w:r>
        <w:rPr>
          <w:color w:val="231F20"/>
          <w:spacing w:val="30"/>
        </w:rPr>
        <w:t> </w:t>
      </w:r>
      <w:r>
        <w:rPr>
          <w:color w:val="231F20"/>
        </w:rPr>
        <w:t>handlung</w:t>
      </w:r>
      <w:r>
        <w:rPr>
          <w:color w:val="231F20"/>
          <w:spacing w:val="6"/>
        </w:rPr>
        <w:t> </w:t>
      </w:r>
      <w:r>
        <w:rPr>
          <w:color w:val="231F20"/>
        </w:rPr>
        <w:t>der</w:t>
      </w:r>
      <w:r>
        <w:rPr>
          <w:color w:val="231F20"/>
          <w:spacing w:val="6"/>
        </w:rPr>
        <w:t> </w:t>
      </w:r>
      <w:r>
        <w:rPr>
          <w:color w:val="231F20"/>
        </w:rPr>
        <w:t>Schnittstelle</w:t>
      </w:r>
      <w:r>
        <w:rPr>
          <w:color w:val="231F20"/>
          <w:spacing w:val="6"/>
        </w:rPr>
        <w:t> </w:t>
      </w:r>
      <w:r>
        <w:rPr>
          <w:color w:val="231F20"/>
        </w:rPr>
        <w:t>Balkonzone</w:t>
      </w:r>
      <w:r>
        <w:rPr>
          <w:color w:val="231F20"/>
          <w:spacing w:val="6"/>
        </w:rPr>
        <w:t> </w:t>
      </w:r>
      <w:r>
        <w:rPr>
          <w:color w:val="231F20"/>
        </w:rPr>
        <w:t>und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Hauptbaukörper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wäre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wünschenswert</w:t>
      </w:r>
      <w:r>
        <w:rPr>
          <w:color w:val="231F20"/>
          <w:spacing w:val="39"/>
        </w:rPr>
        <w:t> </w:t>
      </w:r>
      <w:r>
        <w:rPr>
          <w:color w:val="231F20"/>
        </w:rPr>
        <w:t>ge-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wesen.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Das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Projekt</w:t>
      </w:r>
      <w:r>
        <w:rPr>
          <w:color w:val="231F20"/>
          <w:spacing w:val="12"/>
        </w:rPr>
        <w:t> </w:t>
      </w:r>
      <w:r>
        <w:rPr>
          <w:color w:val="231F20"/>
        </w:rPr>
        <w:t>leistet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dennoch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gerade</w:t>
      </w:r>
      <w:r>
        <w:rPr>
          <w:color w:val="231F20"/>
          <w:spacing w:val="27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der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Gesamtkonzeption</w:t>
      </w:r>
      <w:r>
        <w:rPr>
          <w:color w:val="231F20"/>
          <w:spacing w:val="-4"/>
        </w:rPr>
        <w:t> </w:t>
      </w:r>
      <w:r>
        <w:rPr>
          <w:color w:val="231F20"/>
        </w:rPr>
        <w:t>für</w:t>
      </w:r>
      <w:r>
        <w:rPr>
          <w:color w:val="231F20"/>
          <w:spacing w:val="-4"/>
        </w:rPr>
        <w:t> </w:t>
      </w:r>
      <w:r>
        <w:rPr>
          <w:color w:val="231F20"/>
        </w:rPr>
        <w:t>das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Thema</w:t>
      </w:r>
      <w:r>
        <w:rPr>
          <w:color w:val="231F20"/>
          <w:spacing w:val="-4"/>
        </w:rPr>
        <w:t> </w:t>
      </w:r>
      <w:r>
        <w:rPr>
          <w:color w:val="231F20"/>
        </w:rPr>
        <w:t>der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kostengünstigen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Plus-Energie-Überbauung</w:t>
      </w:r>
      <w:r>
        <w:rPr>
          <w:color w:val="231F20"/>
          <w:spacing w:val="54"/>
        </w:rPr>
        <w:t> </w:t>
      </w:r>
      <w:r>
        <w:rPr>
          <w:color w:val="231F20"/>
        </w:rPr>
        <w:t>einen bedeutsamen Beitrag.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thermische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Solarenergie</w:t>
      </w:r>
      <w:r>
        <w:rPr>
          <w:color w:val="231F20"/>
          <w:spacing w:val="28"/>
        </w:rPr>
        <w:t> </w:t>
      </w:r>
      <w:r>
        <w:rPr>
          <w:color w:val="231F20"/>
        </w:rPr>
        <w:t>ist</w:t>
      </w:r>
      <w:r>
        <w:rPr>
          <w:color w:val="231F20"/>
          <w:spacing w:val="29"/>
        </w:rPr>
        <w:t> </w:t>
      </w:r>
      <w:r>
        <w:rPr>
          <w:color w:val="231F20"/>
        </w:rPr>
        <w:t>für</w:t>
      </w:r>
      <w:r>
        <w:rPr>
          <w:color w:val="231F20"/>
          <w:spacing w:val="29"/>
        </w:rPr>
        <w:t> </w:t>
      </w:r>
      <w:r>
        <w:rPr>
          <w:color w:val="231F20"/>
        </w:rPr>
        <w:t>alle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gratis.</w:t>
      </w:r>
      <w:r>
        <w:rPr>
          <w:color w:val="231F20"/>
          <w:spacing w:val="-3"/>
        </w:rPr>
        <w:t> </w:t>
      </w:r>
      <w:r>
        <w:rPr>
          <w:color w:val="231F20"/>
        </w:rPr>
        <w:t>Im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Mietpreis</w:t>
      </w:r>
      <w:r>
        <w:rPr>
          <w:color w:val="231F20"/>
          <w:spacing w:val="8"/>
        </w:rPr>
        <w:t> </w:t>
      </w:r>
      <w:r>
        <w:rPr>
          <w:color w:val="231F20"/>
        </w:rPr>
        <w:t>inbegriffen</w:t>
      </w:r>
      <w:r>
        <w:rPr>
          <w:color w:val="231F20"/>
          <w:spacing w:val="8"/>
        </w:rPr>
        <w:t> </w:t>
      </w:r>
      <w:r>
        <w:rPr>
          <w:color w:val="231F20"/>
        </w:rPr>
        <w:t>sind</w:t>
      </w:r>
      <w:r>
        <w:rPr>
          <w:color w:val="231F20"/>
          <w:spacing w:val="8"/>
        </w:rPr>
        <w:t> </w:t>
      </w:r>
      <w:r>
        <w:rPr>
          <w:color w:val="231F20"/>
        </w:rPr>
        <w:t>zusätz-</w:t>
      </w:r>
      <w:r>
        <w:rPr>
          <w:color w:val="231F20"/>
          <w:spacing w:val="32"/>
        </w:rPr>
        <w:t> </w:t>
      </w:r>
      <w:r>
        <w:rPr>
          <w:color w:val="231F20"/>
        </w:rPr>
        <w:t>lich</w:t>
      </w:r>
      <w:r>
        <w:rPr>
          <w:color w:val="231F20"/>
          <w:spacing w:val="12"/>
        </w:rPr>
        <w:t> </w:t>
      </w:r>
      <w:r>
        <w:rPr>
          <w:color w:val="231F20"/>
        </w:rPr>
        <w:t>noch</w:t>
      </w:r>
      <w:r>
        <w:rPr>
          <w:color w:val="231F20"/>
          <w:spacing w:val="12"/>
        </w:rPr>
        <w:t> </w:t>
      </w:r>
      <w:r>
        <w:rPr>
          <w:color w:val="231F20"/>
        </w:rPr>
        <w:t>vier</w:t>
      </w:r>
      <w:r>
        <w:rPr>
          <w:color w:val="231F20"/>
          <w:spacing w:val="12"/>
        </w:rPr>
        <w:t> </w:t>
      </w:r>
      <w:r>
        <w:rPr>
          <w:color w:val="231F20"/>
        </w:rPr>
        <w:t>E-Mobile</w:t>
      </w:r>
      <w:r>
        <w:rPr>
          <w:color w:val="231F20"/>
          <w:spacing w:val="12"/>
        </w:rPr>
        <w:t> </w:t>
      </w:r>
      <w:r>
        <w:rPr>
          <w:color w:val="231F20"/>
        </w:rPr>
        <w:t>für</w:t>
      </w:r>
      <w:r>
        <w:rPr>
          <w:color w:val="231F20"/>
          <w:spacing w:val="12"/>
        </w:rPr>
        <w:t> </w:t>
      </w:r>
      <w:r>
        <w:rPr>
          <w:color w:val="231F20"/>
        </w:rPr>
        <w:t>die</w:t>
      </w:r>
      <w:r>
        <w:rPr>
          <w:color w:val="231F20"/>
          <w:spacing w:val="12"/>
        </w:rPr>
        <w:t> </w:t>
      </w:r>
      <w:r>
        <w:rPr>
          <w:color w:val="231F20"/>
        </w:rPr>
        <w:t>ganze</w:t>
      </w:r>
      <w:r>
        <w:rPr>
          <w:color w:val="231F20"/>
          <w:spacing w:val="12"/>
        </w:rPr>
        <w:t> </w:t>
      </w:r>
      <w:r>
        <w:rPr>
          <w:color w:val="231F20"/>
        </w:rPr>
        <w:t>Plus-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Energie-Siedlung.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Eigenstromverbrau-</w:t>
      </w:r>
      <w:r>
        <w:rPr>
          <w:color w:val="231F20"/>
          <w:spacing w:val="21"/>
        </w:rPr>
        <w:t> </w:t>
      </w:r>
      <w:r>
        <w:rPr>
          <w:color w:val="231F20"/>
        </w:rPr>
        <w:t>cher-Regelung</w:t>
      </w:r>
      <w:r>
        <w:rPr>
          <w:color w:val="231F20"/>
          <w:spacing w:val="13"/>
        </w:rPr>
        <w:t> </w:t>
      </w:r>
      <w:r>
        <w:rPr>
          <w:color w:val="231F20"/>
        </w:rPr>
        <w:t>(EVR)</w:t>
      </w:r>
      <w:r>
        <w:rPr>
          <w:color w:val="231F20"/>
          <w:spacing w:val="13"/>
        </w:rPr>
        <w:t> </w:t>
      </w:r>
      <w:r>
        <w:rPr>
          <w:color w:val="231F20"/>
        </w:rPr>
        <w:t>ermöglicht</w:t>
      </w:r>
      <w:r>
        <w:rPr>
          <w:color w:val="231F20"/>
          <w:spacing w:val="13"/>
        </w:rPr>
        <w:t> </w:t>
      </w:r>
      <w:r>
        <w:rPr>
          <w:color w:val="231F20"/>
        </w:rPr>
        <w:t>dem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Vermieter,</w:t>
      </w:r>
      <w:r>
        <w:rPr>
          <w:color w:val="231F20"/>
          <w:spacing w:val="13"/>
        </w:rPr>
        <w:t> </w:t>
      </w:r>
      <w:r>
        <w:rPr>
          <w:color w:val="231F20"/>
        </w:rPr>
        <w:t>den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Solarstrom</w:t>
      </w:r>
      <w:r>
        <w:rPr>
          <w:color w:val="231F20"/>
          <w:spacing w:val="24"/>
        </w:rPr>
        <w:t> </w:t>
      </w:r>
      <w:r>
        <w:rPr>
          <w:color w:val="231F20"/>
        </w:rPr>
        <w:t>zum</w:t>
      </w:r>
      <w:r>
        <w:rPr>
          <w:color w:val="231F20"/>
          <w:spacing w:val="24"/>
        </w:rPr>
        <w:t> </w:t>
      </w:r>
      <w:r>
        <w:rPr>
          <w:color w:val="231F20"/>
        </w:rPr>
        <w:t>üblichen</w:t>
      </w:r>
      <w:r>
        <w:rPr>
          <w:color w:val="231F20"/>
          <w:spacing w:val="29"/>
        </w:rPr>
        <w:t> </w:t>
      </w:r>
      <w:r>
        <w:rPr>
          <w:color w:val="231F20"/>
        </w:rPr>
        <w:t>Haushaltstarif </w:t>
      </w:r>
      <w:r>
        <w:rPr>
          <w:color w:val="231F20"/>
          <w:spacing w:val="-1"/>
        </w:rPr>
        <w:t>direkt</w:t>
      </w:r>
      <w:r>
        <w:rPr>
          <w:color w:val="231F20"/>
        </w:rPr>
        <w:t> </w:t>
      </w:r>
      <w:r>
        <w:rPr>
          <w:color w:val="231F20"/>
          <w:spacing w:val="-1"/>
        </w:rPr>
        <w:t>an</w:t>
      </w:r>
      <w:r>
        <w:rPr>
          <w:color w:val="231F20"/>
        </w:rPr>
        <w:t> die Mieter/innen zu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verkaufen.</w:t>
      </w:r>
      <w:r>
        <w:rPr>
          <w:color w:val="231F20"/>
          <w:spacing w:val="39"/>
        </w:rPr>
        <w:t> </w:t>
      </w:r>
      <w:r>
        <w:rPr>
          <w:color w:val="231F20"/>
        </w:rPr>
        <w:t>Einerseits</w:t>
      </w:r>
      <w:r>
        <w:rPr>
          <w:color w:val="231F20"/>
          <w:spacing w:val="2"/>
        </w:rPr>
        <w:t> </w:t>
      </w:r>
      <w:r>
        <w:rPr>
          <w:color w:val="231F20"/>
        </w:rPr>
        <w:t>benötigen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diese</w:t>
      </w:r>
      <w:r>
        <w:rPr>
          <w:color w:val="231F20"/>
          <w:spacing w:val="2"/>
        </w:rPr>
        <w:t> </w:t>
      </w:r>
      <w:r>
        <w:rPr>
          <w:color w:val="231F20"/>
        </w:rPr>
        <w:t>32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Minergie-P/PEB-Wohnungen</w:t>
      </w:r>
      <w:r>
        <w:rPr>
          <w:color w:val="231F20"/>
          <w:spacing w:val="-7"/>
        </w:rPr>
        <w:t> </w:t>
      </w:r>
      <w:r>
        <w:rPr>
          <w:color w:val="231F20"/>
        </w:rPr>
        <w:t>wenig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Energie</w:t>
      </w:r>
      <w:r>
        <w:rPr>
          <w:color w:val="231F20"/>
          <w:spacing w:val="26"/>
        </w:rPr>
        <w:t> </w:t>
      </w:r>
      <w:r>
        <w:rPr>
          <w:color w:val="231F20"/>
        </w:rPr>
        <w:t>zum</w:t>
      </w:r>
      <w:r>
        <w:rPr>
          <w:color w:val="231F20"/>
          <w:spacing w:val="1"/>
        </w:rPr>
        <w:t> </w:t>
      </w:r>
      <w:r>
        <w:rPr>
          <w:color w:val="231F20"/>
        </w:rPr>
        <w:t>Heizen.</w:t>
      </w:r>
      <w:r>
        <w:rPr>
          <w:color w:val="231F20"/>
          <w:spacing w:val="38"/>
        </w:rPr>
        <w:t> </w:t>
      </w:r>
      <w:r>
        <w:rPr>
          <w:color w:val="231F20"/>
        </w:rPr>
        <w:t>Anderseits</w:t>
      </w:r>
      <w:r>
        <w:rPr>
          <w:color w:val="231F20"/>
          <w:spacing w:val="1"/>
        </w:rPr>
        <w:t> </w:t>
      </w:r>
      <w:r>
        <w:rPr>
          <w:color w:val="231F20"/>
        </w:rPr>
        <w:t>helfen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preis-</w:t>
      </w:r>
      <w:r>
        <w:rPr>
          <w:color w:val="231F20"/>
          <w:spacing w:val="28"/>
        </w:rPr>
        <w:t> </w:t>
      </w:r>
      <w:r>
        <w:rPr>
          <w:color w:val="231F20"/>
        </w:rPr>
        <w:t>günstigen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Solarstromüberschüsse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Miet-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zinskosten</w:t>
      </w:r>
      <w:r>
        <w:rPr>
          <w:color w:val="231F20"/>
          <w:spacing w:val="11"/>
        </w:rPr>
        <w:t> </w:t>
      </w:r>
      <w:r>
        <w:rPr>
          <w:color w:val="231F20"/>
        </w:rPr>
        <w:t>und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Unterhaltskosten</w:t>
      </w:r>
      <w:r>
        <w:rPr>
          <w:color w:val="231F20"/>
          <w:spacing w:val="11"/>
        </w:rPr>
        <w:t> </w:t>
      </w:r>
      <w:r>
        <w:rPr>
          <w:color w:val="231F20"/>
        </w:rPr>
        <w:t>niedrig</w:t>
      </w:r>
      <w:r>
        <w:rPr>
          <w:color w:val="231F20"/>
          <w:spacing w:val="11"/>
        </w:rPr>
        <w:t> </w:t>
      </w:r>
      <w:r>
        <w:rPr>
          <w:color w:val="231F20"/>
        </w:rPr>
        <w:t>zu</w:t>
      </w:r>
      <w:r>
        <w:rPr>
          <w:color w:val="231F20"/>
          <w:spacing w:val="34"/>
        </w:rPr>
        <w:t> </w:t>
      </w:r>
      <w:r>
        <w:rPr>
          <w:color w:val="231F20"/>
        </w:rPr>
        <w:t>halten.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Planer</w:t>
      </w:r>
      <w:r>
        <w:rPr>
          <w:color w:val="231F20"/>
          <w:spacing w:val="37"/>
        </w:rPr>
        <w:t> </w:t>
      </w:r>
      <w:r>
        <w:rPr>
          <w:color w:val="231F20"/>
        </w:rPr>
        <w:t>und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Verantwortlichen</w:t>
      </w:r>
      <w:r>
        <w:rPr>
          <w:color w:val="231F20"/>
          <w:spacing w:val="37"/>
        </w:rPr>
        <w:t> </w:t>
      </w:r>
      <w:r>
        <w:rPr>
          <w:color w:val="231F20"/>
        </w:rPr>
        <w:t>der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preisgünstigen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PlusEnergie-Siedlung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Tobel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beweisen,</w:t>
      </w:r>
      <w:r>
        <w:rPr>
          <w:color w:val="231F20"/>
          <w:spacing w:val="1"/>
        </w:rPr>
        <w:t> </w:t>
      </w:r>
      <w:r>
        <w:rPr>
          <w:color w:val="231F20"/>
        </w:rPr>
        <w:t>dass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PEB</w:t>
      </w:r>
      <w:r>
        <w:rPr>
          <w:color w:val="231F20"/>
          <w:spacing w:val="12"/>
        </w:rPr>
        <w:t> </w:t>
      </w:r>
      <w:r>
        <w:rPr>
          <w:color w:val="231F20"/>
        </w:rPr>
        <w:t>nicht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teurer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sein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müs-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sen</w:t>
      </w:r>
      <w:r>
        <w:rPr>
          <w:color w:val="231F20"/>
          <w:spacing w:val="25"/>
        </w:rPr>
        <w:t> </w:t>
      </w:r>
      <w:r>
        <w:rPr>
          <w:color w:val="231F20"/>
        </w:rPr>
        <w:t>als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vergleichbare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Wohnungen,</w:t>
      </w:r>
      <w:r>
        <w:rPr>
          <w:color w:val="231F20"/>
          <w:spacing w:val="14"/>
        </w:rPr>
        <w:t> </w:t>
      </w:r>
      <w:r>
        <w:rPr>
          <w:color w:val="231F20"/>
        </w:rPr>
        <w:t>bei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de-</w:t>
      </w:r>
      <w:r>
        <w:rPr>
          <w:color w:val="231F20"/>
          <w:spacing w:val="25"/>
        </w:rPr>
        <w:t> </w:t>
      </w:r>
      <w:r>
        <w:rPr>
          <w:color w:val="231F20"/>
        </w:rPr>
        <w:t>nen</w:t>
      </w:r>
      <w:r>
        <w:rPr>
          <w:color w:val="231F20"/>
          <w:spacing w:val="38"/>
        </w:rPr>
        <w:t> </w:t>
      </w:r>
      <w:r>
        <w:rPr>
          <w:color w:val="231F20"/>
        </w:rPr>
        <w:t>die</w:t>
      </w:r>
      <w:r>
        <w:rPr>
          <w:color w:val="231F20"/>
          <w:spacing w:val="39"/>
        </w:rPr>
        <w:t> </w:t>
      </w:r>
      <w:r>
        <w:rPr>
          <w:color w:val="231F20"/>
        </w:rPr>
        <w:t>Mieter/innen</w:t>
      </w:r>
      <w:r>
        <w:rPr>
          <w:color w:val="231F20"/>
          <w:spacing w:val="38"/>
        </w:rPr>
        <w:t> </w:t>
      </w:r>
      <w:r>
        <w:rPr>
          <w:color w:val="231F20"/>
        </w:rPr>
        <w:t>viel</w:t>
      </w:r>
      <w:r>
        <w:rPr>
          <w:color w:val="231F20"/>
          <w:spacing w:val="39"/>
        </w:rPr>
        <w:t> </w:t>
      </w:r>
      <w:r>
        <w:rPr>
          <w:color w:val="231F20"/>
        </w:rPr>
        <w:t>Geld</w:t>
      </w:r>
      <w:r>
        <w:rPr>
          <w:color w:val="231F20"/>
          <w:spacing w:val="39"/>
        </w:rPr>
        <w:t> </w:t>
      </w:r>
      <w:r>
        <w:rPr>
          <w:color w:val="231F20"/>
        </w:rPr>
        <w:t>für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fossil-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nukleare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Energie</w:t>
      </w:r>
      <w:r>
        <w:rPr>
          <w:color w:val="231F20"/>
        </w:rPr>
        <w:t> und </w:t>
      </w:r>
      <w:r>
        <w:rPr>
          <w:color w:val="231F20"/>
          <w:spacing w:val="-2"/>
        </w:rPr>
        <w:t>teure</w:t>
      </w:r>
      <w:r>
        <w:rPr>
          <w:color w:val="231F20"/>
        </w:rPr>
        <w:t> </w:t>
      </w:r>
      <w:r>
        <w:rPr>
          <w:color w:val="231F20"/>
          <w:spacing w:val="-1"/>
        </w:rPr>
        <w:t>Nebenkosten</w:t>
      </w:r>
      <w:r>
        <w:rPr>
          <w:color w:val="231F20"/>
          <w:spacing w:val="25"/>
        </w:rPr>
        <w:t> </w:t>
      </w:r>
      <w:r>
        <w:rPr>
          <w:color w:val="231F20"/>
        </w:rPr>
        <w:t>bezahlen </w:t>
      </w:r>
      <w:r>
        <w:rPr>
          <w:color w:val="231F20"/>
          <w:spacing w:val="-1"/>
        </w:rPr>
        <w:t>müssen.</w:t>
      </w:r>
      <w:r>
        <w:rPr/>
      </w:r>
    </w:p>
    <w:p>
      <w:pPr>
        <w:spacing w:line="230" w:lineRule="exact" w:before="52"/>
        <w:ind w:left="117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appartements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loyer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abordable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construits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Tobel,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Thurgovie.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Achevé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2017,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lotissement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Bâtiments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Positive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(BEP)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comprend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trois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immeubles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appartements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Minergie-P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iso-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équipés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d’électroménager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A+++.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233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intégrée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produit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209’400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133’320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consommés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par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BEP.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17" w:right="5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L’excédent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76’030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permet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logement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dispo-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1’400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parcourir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12’000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quatre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itures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électriques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émettre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loyer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inclut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l’utilisation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celles-ci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thermique.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17" w:right="5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pacing w:val="-1"/>
          <w:sz w:val="18"/>
        </w:rPr>
        <w:t>Pour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des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BEP,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ces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loyers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sont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exception-</w:t>
      </w:r>
      <w:r>
        <w:rPr>
          <w:rFonts w:ascii="Theinhardt Regular Italic" w:hAnsi="Theinhardt Regular Italic"/>
          <w:i/>
          <w:color w:val="231F20"/>
          <w:spacing w:val="4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nels</w:t>
      </w:r>
      <w:r>
        <w:rPr>
          <w:rFonts w:ascii="Theinhardt Regular Italic" w:hAnsi="Theinhardt Regular Italic"/>
          <w:i/>
          <w:color w:val="231F20"/>
          <w:sz w:val="18"/>
        </w:rPr>
        <w:t> et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peut-être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uniques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en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Europe:</w:t>
      </w:r>
      <w:r>
        <w:rPr>
          <w:rFonts w:ascii="Theinhardt Regular Italic" w:hAnsi="Theinhardt Regular Italic"/>
          <w:i/>
          <w:color w:val="231F20"/>
          <w:sz w:val="18"/>
        </w:rPr>
        <w:t> ils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sont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20%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inférieurs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aux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prix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habituels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des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appar-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tements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dans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quartier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et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même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2%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moins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chers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que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les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anciens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logements,</w:t>
      </w:r>
      <w:r>
        <w:rPr>
          <w:rFonts w:ascii="Theinhardt Regular Italic" w:hAnsi="Theinhardt Regular Italic"/>
          <w:i/>
          <w:color w:val="231F20"/>
          <w:spacing w:val="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comme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3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confirme </w:t>
      </w:r>
      <w:r>
        <w:rPr>
          <w:rFonts w:ascii="Theinhardt Regular Italic" w:hAnsi="Theinhardt Regular Italic"/>
          <w:i/>
          <w:color w:val="231F20"/>
          <w:sz w:val="18"/>
        </w:rPr>
        <w:t>la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régie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Immo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Région</w:t>
      </w:r>
      <w:r>
        <w:rPr>
          <w:rFonts w:ascii="Theinhardt Regular Italic" w:hAnsi="Theinhardt Regular Italic"/>
          <w:i/>
          <w:color w:val="231F20"/>
          <w:sz w:val="18"/>
        </w:rPr>
        <w:t> Wil/SG.</w:t>
      </w:r>
      <w:r>
        <w:rPr>
          <w:rFonts w:ascii="Theinhardt Regular Italic" w:hAnsi="Theinhardt Regular Italic"/>
          <w:sz w:val="18"/>
        </w:rPr>
      </w:r>
    </w:p>
    <w:p>
      <w:pPr>
        <w:spacing w:line="230" w:lineRule="exact" w:before="0"/>
        <w:ind w:left="117" w:right="5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réglementation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matière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d’auto-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consommation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permet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propriétaire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vendre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directement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locataires,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cela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tarif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habituel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ménages.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appartements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Minergie-P/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nécessitent,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part,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chauffage.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D’autre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part,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excédents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faible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coût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contribuent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maintenir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bas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loyers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et frais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d’entretien.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17" w:right="5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pacing w:val="-3"/>
          <w:sz w:val="18"/>
        </w:rPr>
        <w:t>Les</w:t>
      </w:r>
      <w:r>
        <w:rPr>
          <w:rFonts w:ascii="Theinhardt Regular Italic" w:hAnsi="Theinhardt Regular Italic"/>
          <w:i/>
          <w:color w:val="231F20"/>
          <w:spacing w:val="-1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planificateurs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et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responsables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du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BEP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Tobel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prouvent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que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ce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type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lotissement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ne</w:t>
      </w:r>
      <w:r>
        <w:rPr>
          <w:rFonts w:ascii="Theinhardt Regular Italic" w:hAnsi="Theinhardt Regular Italic"/>
          <w:i/>
          <w:color w:val="231F20"/>
          <w:spacing w:val="2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coûte</w:t>
      </w:r>
      <w:r>
        <w:rPr>
          <w:rFonts w:ascii="Theinhardt Regular Italic" w:hAnsi="Theinhardt Regular Italic"/>
          <w:i/>
          <w:color w:val="231F20"/>
          <w:spacing w:val="2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pas</w:t>
      </w:r>
      <w:r>
        <w:rPr>
          <w:rFonts w:ascii="Theinhardt Regular Italic" w:hAnsi="Theinhardt Regular Italic"/>
          <w:i/>
          <w:color w:val="231F20"/>
          <w:spacing w:val="2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plus</w:t>
      </w:r>
      <w:r>
        <w:rPr>
          <w:rFonts w:ascii="Theinhardt Regular Italic" w:hAnsi="Theinhardt Regular Italic"/>
          <w:i/>
          <w:color w:val="231F20"/>
          <w:spacing w:val="2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cher</w:t>
      </w:r>
      <w:r>
        <w:rPr>
          <w:rFonts w:ascii="Theinhardt Regular Italic" w:hAnsi="Theinhardt Regular Italic"/>
          <w:i/>
          <w:color w:val="231F20"/>
          <w:spacing w:val="2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que</w:t>
      </w:r>
      <w:r>
        <w:rPr>
          <w:rFonts w:ascii="Theinhardt Regular Italic" w:hAnsi="Theinhardt Regular Italic"/>
          <w:i/>
          <w:color w:val="231F20"/>
          <w:spacing w:val="2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des</w:t>
      </w:r>
      <w:r>
        <w:rPr>
          <w:rFonts w:ascii="Theinhardt Regular Italic" w:hAnsi="Theinhardt Regular Italic"/>
          <w:i/>
          <w:color w:val="231F20"/>
          <w:spacing w:val="2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appartements</w:t>
      </w:r>
      <w:r>
        <w:rPr>
          <w:rFonts w:ascii="Theinhardt Regular Italic" w:hAnsi="Theinhardt Regular Italic"/>
          <w:i/>
          <w:color w:val="231F20"/>
          <w:spacing w:val="3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comparables</w:t>
      </w:r>
      <w:r>
        <w:rPr>
          <w:rFonts w:ascii="Theinhardt Regular Italic" w:hAnsi="Theinhardt Regular Italic"/>
          <w:i/>
          <w:color w:val="231F20"/>
          <w:spacing w:val="30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qui</w:t>
      </w:r>
      <w:r>
        <w:rPr>
          <w:rFonts w:ascii="Theinhardt Regular Italic" w:hAnsi="Theinhardt Regular Italic"/>
          <w:i/>
          <w:color w:val="231F20"/>
          <w:spacing w:val="3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sont</w:t>
      </w:r>
      <w:r>
        <w:rPr>
          <w:rFonts w:ascii="Theinhardt Regular Italic" w:hAnsi="Theinhardt Regular Italic"/>
          <w:i/>
          <w:color w:val="231F20"/>
          <w:spacing w:val="3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approvisionnés</w:t>
      </w:r>
      <w:r>
        <w:rPr>
          <w:rFonts w:ascii="Theinhardt Regular Italic" w:hAnsi="Theinhardt Regular Italic"/>
          <w:i/>
          <w:color w:val="231F20"/>
          <w:spacing w:val="3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en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énergie</w:t>
      </w:r>
      <w:r>
        <w:rPr>
          <w:rFonts w:ascii="Theinhardt Regular Italic" w:hAnsi="Theinhardt Regular Italic"/>
          <w:i/>
          <w:color w:val="231F20"/>
          <w:spacing w:val="15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par</w:t>
      </w:r>
      <w:r>
        <w:rPr>
          <w:rFonts w:ascii="Theinhardt Regular Italic" w:hAnsi="Theinhardt Regular Italic"/>
          <w:i/>
          <w:color w:val="231F20"/>
          <w:spacing w:val="1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des</w:t>
      </w:r>
      <w:r>
        <w:rPr>
          <w:rFonts w:ascii="Theinhardt Regular Italic" w:hAnsi="Theinhardt Regular Italic"/>
          <w:i/>
          <w:color w:val="231F20"/>
          <w:spacing w:val="1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centrales</w:t>
      </w:r>
      <w:r>
        <w:rPr>
          <w:rFonts w:ascii="Theinhardt Regular Italic" w:hAnsi="Theinhardt Regular Italic"/>
          <w:i/>
          <w:color w:val="231F20"/>
          <w:spacing w:val="1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nucléaires</w:t>
      </w:r>
      <w:r>
        <w:rPr>
          <w:rFonts w:ascii="Theinhardt Regular Italic" w:hAnsi="Theinhardt Regular Italic"/>
          <w:i/>
          <w:color w:val="231F20"/>
          <w:spacing w:val="15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et</w:t>
      </w:r>
      <w:r>
        <w:rPr>
          <w:rFonts w:ascii="Theinhardt Regular Italic" w:hAnsi="Theinhardt Regular Italic"/>
          <w:i/>
          <w:color w:val="231F20"/>
          <w:spacing w:val="1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fos-</w:t>
      </w:r>
      <w:r>
        <w:rPr>
          <w:rFonts w:ascii="Theinhardt Regular Italic" w:hAnsi="Theinhardt Regular Italic"/>
          <w:i/>
          <w:color w:val="231F20"/>
          <w:spacing w:val="31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siles,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avec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des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frais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accessoires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élevés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pour</w:t>
      </w:r>
      <w:r>
        <w:rPr>
          <w:rFonts w:ascii="Theinhardt Regular Italic" w:hAnsi="Theinhardt Regular Italic"/>
          <w:i/>
          <w:color w:val="231F20"/>
          <w:spacing w:val="3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les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locataires.</w:t>
      </w:r>
      <w:r>
        <w:rPr>
          <w:rFonts w:ascii="Theinhardt Regular Italic" w:hAnsi="Theinhardt Regular Italic"/>
          <w:sz w:val="18"/>
        </w:rPr>
      </w:r>
    </w:p>
    <w:p>
      <w:pPr>
        <w:spacing w:line="230" w:lineRule="exact" w:before="0"/>
        <w:ind w:left="117" w:right="5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pacing w:val="-5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lotissement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BEP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Tobel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reçoit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Prix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So-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laire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Spécial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Banque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Migros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2018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pour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Bâti-</w:t>
      </w:r>
      <w:r>
        <w:rPr>
          <w:rFonts w:ascii="Theinhardt Regular Italic" w:hAnsi="Theinhardt Regular Italic"/>
          <w:i/>
          <w:color w:val="231F20"/>
          <w:spacing w:val="3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ments</w:t>
      </w:r>
      <w:r>
        <w:rPr>
          <w:rFonts w:ascii="Theinhardt Regular Italic" w:hAnsi="Theinhardt Regular Italic"/>
          <w:i/>
          <w:color w:val="231F20"/>
          <w:sz w:val="18"/>
        </w:rPr>
        <w:t> à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Énergie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Positive.</w:t>
      </w:r>
      <w:r>
        <w:rPr>
          <w:rFonts w:ascii="Theinhardt Regular Italic" w:hAnsi="Theinhardt Regular Italic"/>
          <w:sz w:val="18"/>
        </w:rPr>
      </w:r>
    </w:p>
    <w:p>
      <w:pPr>
        <w:spacing w:before="87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349" w:val="left" w:leader="none"/>
          <w:tab w:pos="1964" w:val="left" w:leader="none"/>
          <w:tab w:pos="2685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</w:r>
      <w:r>
        <w:rPr>
          <w:rFonts w:ascii="Theinhardt Regular"/>
          <w:color w:val="231F20"/>
          <w:spacing w:val="-1"/>
          <w:sz w:val="14"/>
        </w:rPr>
        <w:t>26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5"/>
          <w:sz w:val="14"/>
        </w:rPr>
        <w:t>0.13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349" w:val="left" w:leader="none"/>
          <w:tab w:pos="1964" w:val="left" w:leader="none"/>
          <w:tab w:pos="2690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  <w:tab/>
      </w:r>
      <w:r>
        <w:rPr>
          <w:rFonts w:ascii="Theinhardt Regular"/>
          <w:color w:val="231F20"/>
          <w:spacing w:val="-1"/>
          <w:sz w:val="14"/>
        </w:rPr>
        <w:t>32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7"/>
          <w:sz w:val="14"/>
        </w:rPr>
        <w:t>0.11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231" w:val="left" w:leader="none"/>
          <w:tab w:pos="1964" w:val="left" w:leader="none"/>
          <w:tab w:pos="2662" w:val="left" w:leader="none"/>
        </w:tabs>
        <w:spacing w:line="207" w:lineRule="auto" w:before="5"/>
        <w:ind w:left="117" w:right="16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  <w:tab/>
      </w:r>
      <w:r>
        <w:rPr>
          <w:rFonts w:ascii="Theinhardt Regular"/>
          <w:color w:val="231F20"/>
          <w:spacing w:val="-4"/>
          <w:sz w:val="14"/>
        </w:rPr>
        <w:t>14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5"/>
          <w:sz w:val="14"/>
        </w:rPr>
        <w:t>0.15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Fenster:</w:t>
        <w:tab/>
        <w:t>dreifach</w:t>
        <w:tab/>
        <w:t>U-Wert:</w:t>
        <w:tab/>
      </w:r>
      <w:r>
        <w:rPr>
          <w:rFonts w:ascii="Theinhardt Regular"/>
          <w:color w:val="231F20"/>
          <w:sz w:val="14"/>
        </w:rPr>
        <w:t>0.80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line="172" w:lineRule="exact" w:before="38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r>
        <w:rPr>
          <w:rFonts w:ascii="Theinhardt Bold"/>
          <w:sz w:val="14"/>
        </w:rPr>
      </w:r>
    </w:p>
    <w:p>
      <w:pPr>
        <w:tabs>
          <w:tab w:pos="1869" w:val="left" w:leader="none"/>
          <w:tab w:pos="2648" w:val="left" w:leader="none"/>
          <w:tab w:pos="3034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EBF: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4’025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275" w:val="left" w:leader="none"/>
          <w:tab w:pos="2996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WP: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21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64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85’165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279" w:val="left" w:leader="none"/>
          <w:tab w:pos="2992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Elektrizität:</w:t>
        <w:tab/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36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48’155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269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Gesamt-EB: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33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133’320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1115" w:val="left" w:leader="none"/>
          <w:tab w:pos="2202" w:val="left" w:leader="none"/>
          <w:tab w:pos="2668" w:val="left" w:leader="none"/>
          <w:tab w:pos="3034" w:val="left" w:leader="none"/>
        </w:tabs>
        <w:spacing w:line="207" w:lineRule="auto" w:before="5"/>
        <w:ind w:left="117" w:right="14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Eigen-EV: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 </w:t>
      </w:r>
      <w:r>
        <w:rPr>
          <w:rFonts w:ascii="Theinhardt Regular" w:hAnsi="Theinhardt Regular" w:cs="Theinhardt Regular" w:eastAsia="Theinhardt Regular"/>
          <w:color w:val="231F20"/>
          <w:spacing w:val="18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 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SK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Fassade: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225</w:t>
        <w:tab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300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3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4"/>
          <w:szCs w:val="14"/>
        </w:rPr>
        <w:t>51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67’500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914" w:val="left" w:leader="none"/>
          <w:tab w:pos="2216" w:val="left" w:leader="none"/>
        </w:tabs>
        <w:spacing w:line="154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Dach: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1’253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232.5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167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157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209’350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553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157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209’350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588" w:val="left" w:leader="none"/>
          <w:tab w:pos="3014" w:val="left" w:leader="none"/>
        </w:tabs>
        <w:spacing w:line="172" w:lineRule="exact" w:before="32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536" w:val="left" w:leader="none"/>
        </w:tabs>
        <w:spacing w:line="160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157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209’350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536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133’320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606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57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  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76’030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17" w:right="118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pacing w:val="1"/>
          <w:sz w:val="14"/>
        </w:rPr>
        <w:t> von den Technischen </w:t>
      </w:r>
      <w:r>
        <w:rPr>
          <w:rFonts w:ascii="Theinhardt Bold" w:hAnsi="Theinhardt Bold"/>
          <w:b/>
          <w:color w:val="231F20"/>
          <w:sz w:val="14"/>
        </w:rPr>
        <w:t>Werken</w:t>
      </w:r>
      <w:r>
        <w:rPr>
          <w:rFonts w:ascii="Theinhardt Bold" w:hAnsi="Theinhardt Bold"/>
          <w:b/>
          <w:color w:val="231F20"/>
          <w:spacing w:val="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Tobel-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Tägerschen</w:t>
      </w:r>
      <w:r>
        <w:rPr>
          <w:rFonts w:ascii="Theinhardt Bold" w:hAnsi="Theinhardt Bold"/>
          <w:b/>
          <w:color w:val="231F20"/>
          <w:spacing w:val="15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</w:t>
      </w:r>
      <w:r>
        <w:rPr>
          <w:rFonts w:ascii="Theinhardt Regular" w:hAnsi="Theinhardt Regular"/>
          <w:color w:val="231F20"/>
          <w:spacing w:val="16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27.07.2018,</w:t>
      </w:r>
      <w:r>
        <w:rPr>
          <w:rFonts w:ascii="Theinhardt Regular" w:hAnsi="Theinhardt Regular"/>
          <w:color w:val="231F20"/>
          <w:spacing w:val="16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Rolf</w:t>
      </w:r>
      <w:r>
        <w:rPr>
          <w:rFonts w:ascii="Theinhardt Regular" w:hAnsi="Theinhardt Regular"/>
          <w:color w:val="231F20"/>
          <w:spacing w:val="16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Bosshard,</w:t>
      </w:r>
      <w:r>
        <w:rPr>
          <w:rFonts w:ascii="Theinhardt Regular" w:hAnsi="Theinhardt Regular"/>
          <w:color w:val="231F20"/>
          <w:spacing w:val="16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pacing w:val="16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058</w:t>
      </w:r>
      <w:r>
        <w:rPr>
          <w:rFonts w:ascii="Theinhardt Regular" w:hAnsi="Theinhardt Regular"/>
          <w:color w:val="231F20"/>
          <w:spacing w:val="36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346 </w:t>
      </w:r>
      <w:r>
        <w:rPr>
          <w:rFonts w:ascii="Theinhardt Regular" w:hAnsi="Theinhardt Regular"/>
          <w:color w:val="231F20"/>
          <w:spacing w:val="-1"/>
          <w:sz w:val="14"/>
        </w:rPr>
        <w:t>01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00</w:t>
      </w:r>
      <w:r>
        <w:rPr>
          <w:rFonts w:ascii="Theinhardt Regular" w:hAnsi="Theinhardt Regular"/>
          <w:sz w:val="14"/>
        </w:rPr>
      </w:r>
    </w:p>
    <w:p>
      <w:pPr>
        <w:spacing w:line="207" w:lineRule="auto" w:before="67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54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Elektrofahrzeuge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bzw.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42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Teslas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können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mit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dem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je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12’000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km/a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CO</w:t>
      </w:r>
      <w:r>
        <w:rPr>
          <w:rFonts w:ascii="Theinhardt Regular" w:hAnsi="Theinhardt Regular" w:cs="Theinhardt Regular" w:eastAsia="Theinhardt Regular"/>
          <w:color w:val="231F20"/>
          <w:position w:val="-4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-frei</w:t>
      </w:r>
      <w:r>
        <w:rPr>
          <w:rFonts w:ascii="Theinhardt Regular" w:hAnsi="Theinhardt Regular" w:cs="Theinhardt Regular" w:eastAsia="Theinhardt Regular"/>
          <w:color w:val="231F20"/>
          <w:spacing w:val="-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fahren.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before="116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74"/>
        <w:ind w:left="117" w:right="46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b/>
          <w:color w:val="231F20"/>
          <w:spacing w:val="29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PlusEnergieÜberbauung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Zentrum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Tobel</w:t>
      </w:r>
      <w:r>
        <w:rPr>
          <w:rFonts w:ascii="Theinhardt Regular" w:hAnsi="Theinhardt Regular"/>
          <w:color w:val="231F20"/>
          <w:spacing w:val="5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Käsereistrasse</w:t>
      </w:r>
      <w:r>
        <w:rPr>
          <w:rFonts w:ascii="Theinhardt Regular" w:hAnsi="Theinhardt Regular"/>
          <w:color w:val="231F20"/>
          <w:sz w:val="14"/>
        </w:rPr>
        <w:t> 4, 6, 8, 9555 </w:t>
      </w:r>
      <w:r>
        <w:rPr>
          <w:rFonts w:ascii="Theinhardt Regular" w:hAnsi="Theinhardt Regular"/>
          <w:color w:val="231F20"/>
          <w:spacing w:val="1"/>
          <w:sz w:val="14"/>
        </w:rPr>
        <w:t>Tobel/TG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49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Bauherrschaft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Baukonsortium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Käsereistrasse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Tobel</w:t>
      </w:r>
      <w:r>
        <w:rPr>
          <w:rFonts w:ascii="Theinhardt Regular" w:hAnsi="Theinhardt Regular"/>
          <w:sz w:val="14"/>
        </w:rPr>
      </w:r>
    </w:p>
    <w:p>
      <w:pPr>
        <w:spacing w:line="207" w:lineRule="auto" w:before="5"/>
        <w:ind w:left="117" w:right="134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G.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Fent</w:t>
      </w:r>
      <w:r>
        <w:rPr>
          <w:rFonts w:ascii="Theinhardt Regular"/>
          <w:color w:val="231F20"/>
          <w:sz w:val="14"/>
        </w:rPr>
        <w:t> u. </w:t>
      </w:r>
      <w:r>
        <w:rPr>
          <w:rFonts w:ascii="Theinhardt Regular"/>
          <w:color w:val="231F20"/>
          <w:spacing w:val="1"/>
          <w:sz w:val="14"/>
        </w:rPr>
        <w:t>Residenz</w:t>
      </w:r>
      <w:r>
        <w:rPr>
          <w:rFonts w:ascii="Theinhardt Regular"/>
          <w:color w:val="231F20"/>
          <w:sz w:val="14"/>
        </w:rPr>
        <w:t> AG </w:t>
      </w:r>
      <w:r>
        <w:rPr>
          <w:rFonts w:ascii="Theinhardt Regular"/>
          <w:color w:val="231F20"/>
          <w:spacing w:val="1"/>
          <w:sz w:val="14"/>
        </w:rPr>
        <w:t>Schweiz</w:t>
      </w:r>
      <w:r>
        <w:rPr>
          <w:rFonts w:ascii="Theinhardt Regular"/>
          <w:color w:val="231F20"/>
          <w:spacing w:val="28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c/o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Residenz</w:t>
      </w:r>
      <w:r>
        <w:rPr>
          <w:rFonts w:ascii="Theinhardt Regular"/>
          <w:color w:val="231F20"/>
          <w:sz w:val="14"/>
        </w:rPr>
        <w:t> AG </w:t>
      </w:r>
      <w:r>
        <w:rPr>
          <w:rFonts w:ascii="Theinhardt Regular"/>
          <w:color w:val="231F20"/>
          <w:spacing w:val="1"/>
          <w:sz w:val="14"/>
        </w:rPr>
        <w:t>Schweiz</w:t>
      </w:r>
      <w:r>
        <w:rPr>
          <w:rFonts w:ascii="Theinhardt Regular"/>
          <w:color w:val="231F20"/>
          <w:spacing w:val="2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Gotthardstr.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29,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6300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Zug</w:t>
      </w:r>
      <w:r>
        <w:rPr>
          <w:rFonts w:ascii="Theinhardt Regular"/>
          <w:sz w:val="14"/>
        </w:rPr>
      </w:r>
    </w:p>
    <w:p>
      <w:pPr>
        <w:spacing w:line="172" w:lineRule="exact" w:before="38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43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Fent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Solare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Architektur,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Giuseppe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Fent</w:t>
      </w:r>
      <w:r>
        <w:rPr>
          <w:rFonts w:ascii="Theinhardt Regular"/>
          <w:color w:val="231F20"/>
          <w:spacing w:val="42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Hofbergstr.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21,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9500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Wil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071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913</w:t>
      </w:r>
      <w:r>
        <w:rPr>
          <w:rFonts w:ascii="Theinhardt Regular"/>
          <w:color w:val="231F20"/>
          <w:sz w:val="14"/>
        </w:rPr>
        <w:t> 30 5</w:t>
      </w:r>
      <w:hyperlink r:id="rId6">
        <w:r>
          <w:rPr>
            <w:rFonts w:ascii="Theinhardt Regular"/>
            <w:color w:val="231F20"/>
            <w:sz w:val="14"/>
          </w:rPr>
          <w:t>3, </w:t>
        </w:r>
        <w:r>
          <w:rPr>
            <w:rFonts w:ascii="Theinhardt Regular"/>
            <w:color w:val="231F20"/>
            <w:spacing w:val="1"/>
            <w:sz w:val="14"/>
          </w:rPr>
          <w:t>giuseppe-fent@fent-solar.com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39"/>
        <w:ind w:left="117" w:right="181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Energie-Engineering</w:t>
      </w:r>
      <w:r>
        <w:rPr>
          <w:rFonts w:ascii="Theinhardt Bold"/>
          <w:b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Lucido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Solar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color w:val="231F20"/>
          <w:spacing w:val="2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Hofbergstr.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21,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9500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Wil</w:t>
      </w:r>
      <w:r>
        <w:rPr>
          <w:rFonts w:ascii="Theinhardt Regular"/>
          <w:sz w:val="14"/>
        </w:rPr>
      </w:r>
    </w:p>
    <w:p>
      <w:pPr>
        <w:spacing w:line="17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94.015808pt;margin-top:10.652099pt;width:167.25pt;height:.45pt;mso-position-horizontal-relative:page;mso-position-vertical-relative:paragraph;z-index:1072" coordorigin="7880,213" coordsize="3345,9">
            <v:group style="position:absolute;left:7902;top:217;width:3311;height:2" coordorigin="7902,217" coordsize="3311,2">
              <v:shape style="position:absolute;left:7902;top:217;width:3311;height:2" coordorigin="7902,217" coordsize="3311,0" path="m7902,217l11212,217e" filled="false" stroked="true" strokeweight=".425pt" strokecolor="#231f20">
                <v:path arrowok="t"/>
                <v:stroke dashstyle="dash"/>
              </v:shape>
            </v:group>
            <v:group style="position:absolute;left:7885;top:217;width:2;height:2" coordorigin="7885,217" coordsize="2,2">
              <v:shape style="position:absolute;left:7885;top:217;width:2;height:2" coordorigin="7885,217" coordsize="0,0" path="m7885,217l7885,217e" filled="false" stroked="true" strokeweight=".425pt" strokecolor="#231f20">
                <v:path arrowok="t"/>
              </v:shape>
            </v:group>
            <v:group style="position:absolute;left:11221;top:217;width:2;height:2" coordorigin="11221,217" coordsize="2,2">
              <v:shape style="position:absolute;left:11221;top:217;width:2;height:2" coordorigin="11221,217" coordsize="0,0" path="m11221,217l11221,217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071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913</w:t>
      </w:r>
      <w:r>
        <w:rPr>
          <w:rFonts w:ascii="Theinhardt Regular"/>
          <w:color w:val="231F20"/>
          <w:sz w:val="14"/>
        </w:rPr>
        <w:t> 30 </w:t>
      </w:r>
      <w:r>
        <w:rPr>
          <w:rFonts w:ascii="Theinhardt Regular"/>
          <w:color w:val="231F20"/>
          <w:spacing w:val="-1"/>
          <w:sz w:val="14"/>
        </w:rPr>
        <w:t>55</w:t>
      </w:r>
      <w:hyperlink r:id="rId7">
        <w:r>
          <w:rPr>
            <w:rFonts w:ascii="Theinhardt Regular"/>
            <w:color w:val="231F20"/>
            <w:spacing w:val="-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info@lucido-solar.com</w:t>
        </w:r>
        <w:r>
          <w:rPr>
            <w:rFonts w:ascii="Theinhardt Regular"/>
            <w:sz w:val="14"/>
          </w:rPr>
        </w:r>
      </w:hyperlink>
    </w:p>
    <w:p>
      <w:pPr>
        <w:spacing w:after="0" w:line="177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40" w:bottom="280" w:left="620" w:right="900"/>
          <w:cols w:num="3" w:equalWidth="0">
            <w:col w:w="3463" w:space="109"/>
            <w:col w:w="3470" w:space="102"/>
            <w:col w:w="3586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11"/>
        <w:rPr>
          <w:rFonts w:ascii="Theinhardt Regular" w:hAnsi="Theinhardt Regular" w:cs="Theinhardt Regular" w:eastAsia="Theinhardt Regular"/>
          <w:sz w:val="13"/>
          <w:szCs w:val="13"/>
        </w:rPr>
      </w:pPr>
    </w:p>
    <w:p>
      <w:pPr>
        <w:spacing w:before="7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44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40" w:bottom="280" w:left="620" w:right="900"/>
        </w:sectPr>
      </w:pP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6"/>
          <w:szCs w:val="6"/>
        </w:rPr>
      </w:pPr>
    </w:p>
    <w:p>
      <w:pPr>
        <w:spacing w:line="200" w:lineRule="atLeast"/>
        <w:ind w:left="12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6874" cy="3261359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6874" cy="326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25"/>
        <w:ind w:left="11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3"/>
          <w:szCs w:val="3"/>
        </w:rPr>
      </w:pPr>
    </w:p>
    <w:p>
      <w:pPr>
        <w:spacing w:line="200" w:lineRule="atLeast"/>
        <w:ind w:left="12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 w:hAnsi="Theinhardt Bold" w:cs="Theinhardt Bold" w:eastAsia="Theinhardt Bold"/>
          <w:sz w:val="20"/>
          <w:szCs w:val="20"/>
        </w:rPr>
        <w:drawing>
          <wp:inline distT="0" distB="0" distL="0" distR="0">
            <wp:extent cx="6658254" cy="2770631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254" cy="277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 w:hAnsi="Theinhardt Bold" w:cs="Theinhardt Bold" w:eastAsia="Theinhardt Bold"/>
          <w:sz w:val="20"/>
          <w:szCs w:val="20"/>
        </w:rPr>
      </w:r>
    </w:p>
    <w:p>
      <w:pPr>
        <w:spacing w:before="18"/>
        <w:ind w:left="133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5477" w:val="left" w:leader="none"/>
        </w:tabs>
        <w:spacing w:line="200" w:lineRule="atLeast"/>
        <w:ind w:left="12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3261793" cy="1755648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793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61030" cy="1755648"/>
            <wp:effectExtent l="0" t="0" r="0" b="0"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030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77" w:val="left" w:leader="none"/>
        </w:tabs>
        <w:spacing w:before="14"/>
        <w:ind w:left="112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3</w:t>
        <w:tab/>
        <w:t>4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0"/>
          <w:szCs w:val="20"/>
        </w:rPr>
        <w:sectPr>
          <w:pgSz w:w="12250" w:h="17180"/>
          <w:pgMar w:top="1020" w:bottom="280" w:left="900" w:right="620"/>
        </w:sectPr>
      </w:pPr>
    </w:p>
    <w:p>
      <w:pPr>
        <w:spacing w:line="240" w:lineRule="auto" w:before="5"/>
        <w:rPr>
          <w:rFonts w:ascii="Theinhardt Bold" w:hAnsi="Theinhardt Bold" w:cs="Theinhardt Bold" w:eastAsia="Theinhardt Bold"/>
          <w:b/>
          <w:bCs/>
          <w:sz w:val="16"/>
          <w:szCs w:val="16"/>
        </w:rPr>
      </w:pP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0"/>
        <w:ind w:left="34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Die PEB-MFH-Überbauung Zentrum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pacing w:val="-3"/>
          <w:sz w:val="14"/>
        </w:rPr>
        <w:t>Tobel</w:t>
      </w:r>
      <w:r>
        <w:rPr>
          <w:rFonts w:ascii="Theinhardt Bold" w:hAnsi="Theinhardt Bold"/>
          <w:b/>
          <w:color w:val="231F20"/>
          <w:sz w:val="14"/>
        </w:rPr>
        <w:t> an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pacing w:val="29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Käsereistrasse</w:t>
      </w:r>
      <w:r>
        <w:rPr>
          <w:rFonts w:ascii="Theinhardt Bold" w:hAnsi="Theinhardt Bold"/>
          <w:b/>
          <w:color w:val="231F20"/>
          <w:sz w:val="14"/>
        </w:rPr>
        <w:t> besteht aus </w:t>
      </w:r>
      <w:r>
        <w:rPr>
          <w:rFonts w:ascii="Theinhardt Bold" w:hAnsi="Theinhardt Bold"/>
          <w:b/>
          <w:color w:val="231F20"/>
          <w:spacing w:val="-1"/>
          <w:sz w:val="14"/>
        </w:rPr>
        <w:t>drei</w:t>
      </w:r>
      <w:r>
        <w:rPr>
          <w:rFonts w:ascii="Theinhardt Bold" w:hAnsi="Theinhardt Bold"/>
          <w:b/>
          <w:color w:val="231F20"/>
          <w:sz w:val="14"/>
        </w:rPr>
        <w:t> MFH mit 32</w:t>
      </w:r>
      <w:r>
        <w:rPr>
          <w:rFonts w:ascii="Theinhardt Bold" w:hAnsi="Theinhardt Bold"/>
          <w:b/>
          <w:color w:val="231F20"/>
          <w:spacing w:val="32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Minergie-P-Wohnungen</w:t>
      </w:r>
      <w:r>
        <w:rPr>
          <w:rFonts w:ascii="Theinhardt Bold" w:hAnsi="Theinhardt Bold"/>
          <w:b/>
          <w:color w:val="231F20"/>
          <w:sz w:val="14"/>
        </w:rPr>
        <w:t> mit eleganten </w:t>
      </w:r>
      <w:r>
        <w:rPr>
          <w:rFonts w:ascii="Theinhardt Bold" w:hAnsi="Theinhardt Bold"/>
          <w:b/>
          <w:color w:val="231F20"/>
          <w:spacing w:val="-1"/>
          <w:sz w:val="14"/>
        </w:rPr>
        <w:t>PV-Balko-</w:t>
      </w:r>
      <w:r>
        <w:rPr>
          <w:rFonts w:ascii="Theinhardt Bold" w:hAnsi="Theinhardt Bold"/>
          <w:b/>
          <w:color w:val="231F20"/>
          <w:spacing w:val="43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nen (Okt.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2018 vor Fertigstellung).</w:t>
      </w:r>
      <w:r>
        <w:rPr>
          <w:rFonts w:ascii="Theinhardt Bold" w:hAnsi="Theinhardt Bold"/>
          <w:sz w:val="14"/>
        </w:rPr>
      </w:r>
    </w:p>
    <w:p>
      <w:pPr>
        <w:spacing w:line="240" w:lineRule="auto" w:before="5"/>
        <w:rPr>
          <w:rFonts w:ascii="Theinhardt Bold" w:hAnsi="Theinhardt Bold" w:cs="Theinhardt Bold" w:eastAsia="Theinhardt Bold"/>
          <w:b/>
          <w:bCs/>
          <w:sz w:val="16"/>
          <w:szCs w:val="16"/>
        </w:rPr>
      </w:pPr>
      <w:r>
        <w:rPr/>
        <w:br w:type="column"/>
      </w:r>
      <w:r>
        <w:rPr>
          <w:rFonts w:ascii="Theinhardt Bold"/>
          <w:b/>
          <w:sz w:val="16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0"/>
        <w:ind w:left="347" w:right="262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1’253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position w:val="5"/>
          <w:sz w:val="8"/>
          <w:szCs w:val="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grosse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und 232.5 kW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PV-Anlage generiert ca.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209’400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0"/>
        <w:ind w:left="34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Die </w:t>
      </w:r>
      <w:r>
        <w:rPr>
          <w:rFonts w:ascii="Theinhardt Bold" w:hAnsi="Theinhardt Bold"/>
          <w:b/>
          <w:color w:val="231F20"/>
          <w:spacing w:val="-1"/>
          <w:sz w:val="14"/>
        </w:rPr>
        <w:t>Mietpreise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Überbauung liegen 2-20%</w:t>
      </w:r>
      <w:r>
        <w:rPr>
          <w:rFonts w:ascii="Theinhardt Bold" w:hAnsi="Theinhardt Bold"/>
          <w:b/>
          <w:color w:val="231F20"/>
          <w:spacing w:val="30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unter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> quartierüblichen </w:t>
      </w:r>
      <w:r>
        <w:rPr>
          <w:rFonts w:ascii="Theinhardt Bold" w:hAnsi="Theinhardt Bold"/>
          <w:b/>
          <w:color w:val="231F20"/>
          <w:spacing w:val="-1"/>
          <w:sz w:val="14"/>
        </w:rPr>
        <w:t>Mietpreisen.</w:t>
      </w:r>
      <w:r>
        <w:rPr>
          <w:rFonts w:ascii="Theinhardt Bold" w:hAnsi="Theinhardt Bold"/>
          <w:sz w:val="14"/>
        </w:rPr>
      </w:r>
    </w:p>
    <w:p>
      <w:pPr>
        <w:spacing w:line="240" w:lineRule="auto" w:before="5"/>
        <w:rPr>
          <w:rFonts w:ascii="Theinhardt Bold" w:hAnsi="Theinhardt Bold" w:cs="Theinhardt Bold" w:eastAsia="Theinhardt Bold"/>
          <w:b/>
          <w:bCs/>
          <w:sz w:val="16"/>
          <w:szCs w:val="16"/>
        </w:rPr>
      </w:pPr>
      <w:r>
        <w:rPr/>
        <w:br w:type="column"/>
      </w:r>
      <w:r>
        <w:rPr>
          <w:rFonts w:ascii="Theinhardt Bold"/>
          <w:b/>
          <w:sz w:val="16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0"/>
        <w:ind w:left="347" w:right="169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Die thermische </w:t>
      </w:r>
      <w:r>
        <w:rPr>
          <w:rFonts w:ascii="Theinhardt Bold"/>
          <w:b/>
          <w:color w:val="231F20"/>
          <w:spacing w:val="-1"/>
          <w:sz w:val="14"/>
        </w:rPr>
        <w:t>Solarenergie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der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Fassadenanla-</w:t>
      </w:r>
      <w:r>
        <w:rPr>
          <w:rFonts w:ascii="Theinhardt Bold"/>
          <w:b/>
          <w:color w:val="231F20"/>
          <w:spacing w:val="51"/>
          <w:sz w:val="14"/>
        </w:rPr>
        <w:t> </w:t>
      </w:r>
      <w:r>
        <w:rPr>
          <w:rFonts w:ascii="Theinhardt Bold"/>
          <w:b/>
          <w:color w:val="231F20"/>
          <w:sz w:val="14"/>
        </w:rPr>
        <w:t>ge kann von </w:t>
      </w:r>
      <w:r>
        <w:rPr>
          <w:rFonts w:ascii="Theinhardt Bold"/>
          <w:b/>
          <w:color w:val="231F20"/>
          <w:spacing w:val="-1"/>
          <w:sz w:val="14"/>
        </w:rPr>
        <w:t>den</w:t>
      </w:r>
      <w:r>
        <w:rPr>
          <w:rFonts w:ascii="Theinhardt Bold"/>
          <w:b/>
          <w:color w:val="231F20"/>
          <w:sz w:val="14"/>
        </w:rPr>
        <w:t> Mietern gratis </w:t>
      </w:r>
      <w:r>
        <w:rPr>
          <w:rFonts w:ascii="Theinhardt Bold"/>
          <w:b/>
          <w:color w:val="231F20"/>
          <w:spacing w:val="1"/>
          <w:sz w:val="14"/>
        </w:rPr>
        <w:t>benutzt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werden.</w:t>
      </w:r>
      <w:r>
        <w:rPr>
          <w:rFonts w:asci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2250" w:h="17180"/>
          <w:pgMar w:top="1040" w:bottom="280" w:left="900" w:right="620"/>
          <w:cols w:num="3" w:equalWidth="0">
            <w:col w:w="3460" w:space="112"/>
            <w:col w:w="3254" w:space="318"/>
            <w:col w:w="3586"/>
          </w:cols>
        </w:sect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70"/>
        <w:ind w:left="667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45</w:t>
      </w:r>
      <w:r>
        <w:rPr>
          <w:rFonts w:ascii="Theinhardt Heavy"/>
          <w:sz w:val="14"/>
        </w:rPr>
      </w:r>
    </w:p>
    <w:sectPr>
      <w:type w:val="continuous"/>
      <w:pgSz w:w="12250" w:h="17180"/>
      <w:pgMar w:top="1040" w:bottom="280" w:left="9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4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58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9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80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92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0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14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25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37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7" w:firstLine="22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giuseppe-fent@fent-solar.com" TargetMode="External"/><Relationship Id="rId7" Type="http://schemas.openxmlformats.org/officeDocument/2006/relationships/hyperlink" Target="mailto:info@lucido-solar.com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2018-10-02T09:56:44Z</dcterms:created>
  <dcterms:modified xsi:type="dcterms:W3CDTF">2018-10-02T09:56:44Z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2018-10-02T00:00:00Z</vt:filetime>
  </property>
  <property fmtid="{D5CDD505-2E9C-101B-9397-08002B2CF9AE}" pid="3" name="LastSaved">
    <vt:filetime>2018-10-02T00:00:00Z</vt:filetime>
  </property>
</Properties>
</file>