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6F48F" w14:textId="77777777" w:rsidR="00D13F2A" w:rsidRDefault="00515DA2">
      <w:pPr>
        <w:pStyle w:val="berschrift1"/>
        <w:tabs>
          <w:tab w:val="left" w:pos="2549"/>
        </w:tabs>
        <w:spacing w:line="230" w:lineRule="exact"/>
        <w:jc w:val="both"/>
        <w:rPr>
          <w:rFonts w:ascii="Theinhardt Regular" w:eastAsia="Theinhardt Regular" w:hAnsi="Theinhardt Regular" w:cs="Theinhardt Regular"/>
          <w:b w:val="0"/>
          <w:bCs w:val="0"/>
        </w:rPr>
      </w:pPr>
      <w:r>
        <w:pict w14:anchorId="35F67000">
          <v:group id="_x0000_s1055" style="position:absolute;left:0;text-align:left;margin-left:42.75pt;margin-top:13.65pt;width:.1pt;height:.1pt;z-index:-4120;mso-position-horizontal-relative:page" coordorigin="855,273" coordsize="2,2">
            <v:shape id="_x0000_s1056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4A3377EE">
          <v:group id="_x0000_s1053" style="position:absolute;left:0;text-align:left;margin-left:164.9pt;margin-top:13.65pt;width:.1pt;height:.1pt;z-index:1120;mso-position-horizontal-relative:page" coordorigin="3298,273" coordsize="2,2">
            <v:shape id="_x0000_s1054" style="position:absolute;left:3298;top:273;width:2;height:2" coordorigin="3298,273" coordsize="0,0" path="m3298,273r,e" filled="f" strokecolor="#231f20" strokeweight=".14994mm">
              <v:path arrowok="t"/>
            </v:shape>
            <w10:wrap anchorx="page"/>
          </v:group>
        </w:pict>
      </w:r>
      <w:r>
        <w:pict w14:anchorId="338CCDB0">
          <v:group id="_x0000_s1051" style="position:absolute;left:0;text-align:left;margin-left:42.75pt;margin-top:25.15pt;width:.1pt;height:.1pt;z-index:-4072;mso-position-horizontal-relative:page" coordorigin="855,503" coordsize="2,2">
            <v:shape id="_x0000_s1052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3BBBA5D1">
          <v:group id="_x0000_s1049" style="position:absolute;left:0;text-align:left;margin-left:164.9pt;margin-top:25.15pt;width:.1pt;height:.1pt;z-index:1168;mso-position-horizontal-relative:page" coordorigin="3298,503" coordsize="2,2">
            <v:shape id="_x0000_s1050" style="position:absolute;left:3298;top:503;width:2;height:2" coordorigin="3298,503" coordsize="0,0" path="m3298,503r,e" filled="f" strokecolor="#231f20" strokeweight=".14994mm">
              <v:path arrowok="t"/>
            </v:shape>
            <w10:wrap anchorx="page"/>
          </v:group>
        </w:pict>
      </w:r>
      <w:r>
        <w:pict w14:anchorId="28D50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2.5pt;margin-top:53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color w:val="231F20"/>
          <w:spacing w:val="2"/>
          <w:u w:val="dotted" w:color="231F20"/>
        </w:rPr>
        <w:t>Catégorie</w:t>
      </w:r>
      <w:r>
        <w:rPr>
          <w:rFonts w:ascii="Theinhardt Black" w:hAnsi="Theinhardt Black"/>
          <w:color w:val="231F20"/>
          <w:u w:val="dotted" w:color="231F20"/>
        </w:rPr>
        <w:t xml:space="preserve">                         </w:t>
      </w:r>
      <w:r>
        <w:rPr>
          <w:rFonts w:ascii="Theinhardt Black" w:hAnsi="Theinhardt Black"/>
          <w:color w:val="231F20"/>
          <w:spacing w:val="18"/>
          <w:u w:val="dotted" w:color="231F20"/>
        </w:rPr>
        <w:t xml:space="preserve"> </w:t>
      </w:r>
      <w:r>
        <w:rPr>
          <w:rFonts w:ascii="Theinhardt Black" w:hAnsi="Theinhardt Black"/>
          <w:color w:val="231F20"/>
          <w:u w:val="dotted" w:color="231F20"/>
        </w:rPr>
        <w:t xml:space="preserve">B </w:t>
      </w:r>
      <w:r>
        <w:rPr>
          <w:rFonts w:ascii="Theinhardt Black" w:hAnsi="Theinhardt Black"/>
          <w:color w:val="231F20"/>
          <w:u w:val="dotted" w:color="231F20"/>
        </w:rPr>
        <w:tab/>
      </w:r>
      <w:r>
        <w:rPr>
          <w:rFonts w:ascii="Theinhardt Black" w:hAnsi="Theinhardt Black"/>
          <w:color w:val="231F20"/>
          <w:spacing w:val="21"/>
        </w:rPr>
        <w:t xml:space="preserve"> </w:t>
      </w:r>
      <w:r>
        <w:rPr>
          <w:rFonts w:ascii="Theinhardt Black" w:hAnsi="Theinhardt Black"/>
          <w:color w:val="231F20"/>
          <w:spacing w:val="3"/>
          <w:u w:val="dotted" w:color="231F20"/>
        </w:rPr>
        <w:t>Bât.</w:t>
      </w:r>
      <w:r>
        <w:rPr>
          <w:rFonts w:ascii="Theinhardt Black" w:hAnsi="Theinhardt Black"/>
          <w:color w:val="231F20"/>
          <w:spacing w:val="-11"/>
          <w:u w:val="dotted" w:color="231F20"/>
        </w:rPr>
        <w:t xml:space="preserve"> </w:t>
      </w:r>
      <w:r>
        <w:rPr>
          <w:rFonts w:ascii="Theinhardt Black" w:hAnsi="Theinhardt Black"/>
          <w:color w:val="231F20"/>
          <w:u w:val="dotted" w:color="231F20"/>
        </w:rPr>
        <w:t xml:space="preserve">à Énergie </w:t>
      </w:r>
      <w:r>
        <w:rPr>
          <w:rFonts w:ascii="Theinhardt Black" w:hAnsi="Theinhardt Black"/>
          <w:color w:val="231F20"/>
          <w:spacing w:val="1"/>
          <w:u w:val="dotted" w:color="231F20"/>
        </w:rPr>
        <w:t>Positive</w:t>
      </w:r>
      <w:r>
        <w:rPr>
          <w:rFonts w:ascii="Theinhardt Black" w:hAnsi="Theinhardt Black"/>
          <w:color w:val="231F20"/>
          <w:u w:val="dotted" w:color="231F20"/>
        </w:rPr>
        <w:t xml:space="preserve">          </w:t>
      </w:r>
      <w:r>
        <w:rPr>
          <w:rFonts w:ascii="Theinhardt Black" w:hAnsi="Theinhardt Black"/>
          <w:color w:val="231F20"/>
          <w:spacing w:val="10"/>
          <w:u w:val="dotted" w:color="231F20"/>
        </w:rPr>
        <w:t xml:space="preserve"> </w:t>
      </w:r>
      <w:r>
        <w:rPr>
          <w:rFonts w:ascii="Theinhardt Black" w:hAnsi="Theinhardt Black"/>
          <w:color w:val="231F20"/>
          <w:spacing w:val="34"/>
        </w:rPr>
        <w:t xml:space="preserve"> </w:t>
      </w:r>
      <w:r>
        <w:rPr>
          <w:rFonts w:ascii="Theinhardt Regular" w:hAnsi="Theinhardt Regular"/>
          <w:b w:val="0"/>
          <w:color w:val="231F20"/>
          <w:spacing w:val="-1"/>
        </w:rPr>
        <w:t>Diplôme</w:t>
      </w:r>
      <w:r>
        <w:rPr>
          <w:rFonts w:ascii="Theinhardt Regular" w:hAnsi="Theinhardt Regular"/>
          <w:b w:val="0"/>
          <w:color w:val="231F20"/>
          <w:spacing w:val="1"/>
        </w:rPr>
        <w:t xml:space="preserve"> </w:t>
      </w:r>
      <w:r>
        <w:rPr>
          <w:rFonts w:ascii="Theinhardt Regular" w:hAnsi="Theinhardt Regular"/>
          <w:b w:val="0"/>
          <w:color w:val="231F20"/>
          <w:spacing w:val="-1"/>
        </w:rPr>
        <w:t>BEP</w:t>
      </w:r>
      <w:r>
        <w:rPr>
          <w:rFonts w:ascii="Theinhardt Regular" w:hAnsi="Theinhardt Regular"/>
          <w:b w:val="0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b w:val="0"/>
          <w:color w:val="231F20"/>
          <w:spacing w:val="23"/>
          <w:position w:val="6"/>
          <w:sz w:val="10"/>
        </w:rPr>
        <w:t xml:space="preserve"> </w:t>
      </w:r>
      <w:r>
        <w:rPr>
          <w:rFonts w:ascii="Theinhardt Regular" w:hAnsi="Theinhardt Regular"/>
          <w:b w:val="0"/>
          <w:color w:val="231F20"/>
        </w:rPr>
        <w:t>2020</w:t>
      </w:r>
    </w:p>
    <w:p w14:paraId="48C0E3D8" w14:textId="77777777" w:rsidR="00D13F2A" w:rsidRDefault="00515DA2">
      <w:pPr>
        <w:spacing w:before="28" w:line="230" w:lineRule="exact"/>
        <w:ind w:left="110" w:right="104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rénovation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villa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Revaz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Pont-de-la-Morge,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près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Sion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(VS),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permis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d’abaisser</w:t>
      </w:r>
      <w:r>
        <w:rPr>
          <w:rFonts w:ascii="Theinhardt Bold" w:eastAsia="Theinhardt Bold" w:hAnsi="Theinhardt Bold" w:cs="Theinhardt Bold"/>
          <w:b/>
          <w:bCs/>
          <w:color w:val="231F20"/>
          <w:spacing w:val="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7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consommation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73’800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28’300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installations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d’une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puissance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totale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35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kW,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intégrées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façon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exemplaire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toute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surfaces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toiture,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génèrent</w:t>
      </w:r>
      <w:r>
        <w:rPr>
          <w:rFonts w:ascii="Theinhardt Bold" w:eastAsia="Theinhardt Bold" w:hAnsi="Theinhardt Bold" w:cs="Theinhardt Bold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30’600</w:t>
      </w:r>
      <w:r>
        <w:rPr>
          <w:rFonts w:ascii="Theinhardt Bold" w:eastAsia="Theinhardt Bold" w:hAnsi="Theinhardt Bold" w:cs="Theinhardt Bold"/>
          <w:b/>
          <w:bCs/>
          <w:color w:val="231F20"/>
          <w:spacing w:val="5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BEP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assure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ainsi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autoproduction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108%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après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rénovation.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L’excédent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solaire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8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2’300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permettrait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grand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modèle</w:t>
      </w:r>
      <w:r>
        <w:rPr>
          <w:rFonts w:ascii="Theinhardt Bold" w:eastAsia="Theinhardt Bold" w:hAnsi="Theinhardt Bold" w:cs="Theinhardt Bold"/>
          <w:b/>
          <w:bCs/>
          <w:color w:val="231F20"/>
          <w:spacing w:val="1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Tesla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parcourir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aisément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km/a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sans</w:t>
      </w:r>
      <w:r>
        <w:rPr>
          <w:rFonts w:ascii="Theinhardt Bold" w:eastAsia="Theinhardt Bold" w:hAnsi="Theinhardt Bold" w:cs="Theinhardt Bold"/>
          <w:b/>
          <w:bCs/>
          <w:color w:val="231F20"/>
          <w:spacing w:val="5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émettre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.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investigations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menées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dans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canton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du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Valais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laissent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penser</w:t>
      </w:r>
      <w:r>
        <w:rPr>
          <w:rFonts w:ascii="Theinhardt Bold" w:eastAsia="Theinhardt Bold" w:hAnsi="Theinhardt Bold" w:cs="Theinhardt Bold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que</w:t>
      </w:r>
      <w:r>
        <w:rPr>
          <w:rFonts w:ascii="Theinhardt Bold" w:eastAsia="Theinhardt Bold" w:hAnsi="Theinhardt Bold" w:cs="Theinhardt Bold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6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éléments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construction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datent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probablement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du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XVe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siècle.*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Une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fois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rénové,</w:t>
      </w:r>
      <w:r>
        <w:rPr>
          <w:rFonts w:ascii="Theinhardt Bold" w:eastAsia="Theinhardt Bold" w:hAnsi="Theinhardt Bold" w:cs="Theinhardt Bold"/>
          <w:b/>
          <w:bCs/>
          <w:color w:val="231F20"/>
          <w:spacing w:val="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eastAsia="Theinhardt Bold" w:hAnsi="Theinhardt Bold" w:cs="Theinhardt Bold"/>
          <w:b/>
          <w:bCs/>
          <w:color w:val="231F20"/>
          <w:spacing w:val="5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s’impose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ainsi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comme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plus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ancien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BEP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Suisse.</w:t>
      </w:r>
    </w:p>
    <w:p w14:paraId="2AF1C3C4" w14:textId="77777777" w:rsidR="00D13F2A" w:rsidRDefault="00D13F2A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num="2" w:space="720" w:equalWidth="0">
            <w:col w:w="2550" w:space="129"/>
            <w:col w:w="8031"/>
          </w:cols>
        </w:sectPr>
      </w:pPr>
    </w:p>
    <w:p w14:paraId="17EFF811" w14:textId="77777777" w:rsidR="00D13F2A" w:rsidRDefault="00D13F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6C0C710D" w14:textId="77777777" w:rsidR="00D13F2A" w:rsidRDefault="00D13F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459E780" w14:textId="77777777" w:rsidR="00D13F2A" w:rsidRDefault="00D13F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79B7E79" w14:textId="77777777" w:rsidR="00D13F2A" w:rsidRDefault="00D13F2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34FAB04" w14:textId="77777777" w:rsidR="00D13F2A" w:rsidRDefault="00D13F2A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5260A818" w14:textId="77777777" w:rsidR="00D13F2A" w:rsidRDefault="00515DA2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Rénovation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4"/>
          <w:sz w:val="40"/>
        </w:rPr>
        <w:t>BEP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4"/>
          <w:sz w:val="40"/>
        </w:rPr>
        <w:t>108%,</w:t>
      </w:r>
      <w:r>
        <w:rPr>
          <w:rFonts w:ascii="Theinhardt Black" w:hAnsi="Theinhardt Black"/>
          <w:b/>
          <w:color w:val="0067B1"/>
          <w:spacing w:val="-33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3"/>
          <w:sz w:val="40"/>
        </w:rPr>
        <w:t>1962</w:t>
      </w:r>
      <w:r>
        <w:rPr>
          <w:rFonts w:ascii="Theinhardt Black" w:hAns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-4"/>
          <w:sz w:val="40"/>
        </w:rPr>
        <w:t>P</w:t>
      </w:r>
      <w:r>
        <w:rPr>
          <w:rFonts w:ascii="Theinhardt Black" w:hAnsi="Theinhardt Black"/>
          <w:b/>
          <w:color w:val="0067B1"/>
          <w:spacing w:val="-2"/>
          <w:sz w:val="40"/>
        </w:rPr>
        <w:t>o</w:t>
      </w:r>
      <w:r>
        <w:rPr>
          <w:rFonts w:ascii="Theinhardt Black" w:hAnsi="Theinhardt Black"/>
          <w:b/>
          <w:color w:val="0067B1"/>
          <w:spacing w:val="3"/>
          <w:sz w:val="40"/>
        </w:rPr>
        <w:t>n</w:t>
      </w:r>
      <w:r>
        <w:rPr>
          <w:rFonts w:ascii="Theinhardt Black" w:hAnsi="Theinhardt Black"/>
          <w:b/>
          <w:color w:val="0067B1"/>
          <w:spacing w:val="-4"/>
          <w:sz w:val="40"/>
        </w:rPr>
        <w:t>t-</w:t>
      </w:r>
      <w:r>
        <w:rPr>
          <w:rFonts w:ascii="Theinhardt Black" w:hAnsi="Theinhardt Black"/>
          <w:b/>
          <w:color w:val="0067B1"/>
          <w:spacing w:val="-2"/>
          <w:sz w:val="40"/>
        </w:rPr>
        <w:t>d</w:t>
      </w:r>
      <w:r>
        <w:rPr>
          <w:rFonts w:ascii="Theinhardt Black" w:hAnsi="Theinhardt Black"/>
          <w:b/>
          <w:color w:val="0067B1"/>
          <w:spacing w:val="-4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-</w:t>
      </w:r>
      <w:r>
        <w:rPr>
          <w:rFonts w:ascii="Theinhardt Black" w:hAnsi="Theinhardt Black"/>
          <w:b/>
          <w:color w:val="0067B1"/>
          <w:spacing w:val="2"/>
          <w:sz w:val="40"/>
        </w:rPr>
        <w:t>l</w:t>
      </w:r>
      <w:r>
        <w:rPr>
          <w:rFonts w:ascii="Theinhardt Black" w:hAnsi="Theinhardt Black"/>
          <w:b/>
          <w:color w:val="0067B1"/>
          <w:spacing w:val="-4"/>
          <w:sz w:val="40"/>
        </w:rPr>
        <w:t>a</w:t>
      </w:r>
      <w:r>
        <w:rPr>
          <w:rFonts w:ascii="Theinhardt Black" w:hAnsi="Theinhardt Black"/>
          <w:b/>
          <w:color w:val="0067B1"/>
          <w:sz w:val="40"/>
        </w:rPr>
        <w:t>-M</w:t>
      </w:r>
      <w:r>
        <w:rPr>
          <w:rFonts w:ascii="Theinhardt Black" w:hAnsi="Theinhardt Black"/>
          <w:b/>
          <w:color w:val="0067B1"/>
          <w:spacing w:val="-3"/>
          <w:sz w:val="40"/>
        </w:rPr>
        <w:t>o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g</w:t>
      </w:r>
      <w:r>
        <w:rPr>
          <w:rFonts w:ascii="Theinhardt Black" w:hAnsi="Theinhardt Black"/>
          <w:b/>
          <w:color w:val="0067B1"/>
          <w:spacing w:val="4"/>
          <w:sz w:val="40"/>
        </w:rPr>
        <w:t>e</w:t>
      </w:r>
      <w:r>
        <w:rPr>
          <w:rFonts w:ascii="Theinhardt Black" w:hAnsi="Theinhardt Black"/>
          <w:b/>
          <w:color w:val="0067B1"/>
          <w:spacing w:val="34"/>
          <w:sz w:val="40"/>
        </w:rPr>
        <w:t>/</w:t>
      </w:r>
      <w:r>
        <w:rPr>
          <w:rFonts w:ascii="Theinhardt Black" w:hAnsi="Theinhardt Black"/>
          <w:b/>
          <w:color w:val="0067B1"/>
          <w:spacing w:val="3"/>
          <w:sz w:val="40"/>
        </w:rPr>
        <w:t>V</w:t>
      </w:r>
      <w:r>
        <w:rPr>
          <w:rFonts w:ascii="Theinhardt Black" w:hAnsi="Theinhardt Black"/>
          <w:b/>
          <w:color w:val="0067B1"/>
          <w:sz w:val="40"/>
        </w:rPr>
        <w:t>S</w:t>
      </w:r>
    </w:p>
    <w:p w14:paraId="611D936F" w14:textId="77777777" w:rsidR="00D13F2A" w:rsidRDefault="00D13F2A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46ADE6AF" w14:textId="77777777" w:rsidR="00D13F2A" w:rsidRDefault="00D13F2A">
      <w:pPr>
        <w:rPr>
          <w:rFonts w:ascii="Theinhardt Black" w:eastAsia="Theinhardt Black" w:hAnsi="Theinhardt Black" w:cs="Theinhardt Black"/>
          <w:sz w:val="23"/>
          <w:szCs w:val="23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1877ADDB" w14:textId="77777777" w:rsidR="00D13F2A" w:rsidRDefault="00515DA2">
      <w:pPr>
        <w:pStyle w:val="Textkrper"/>
        <w:spacing w:before="52" w:line="230" w:lineRule="exact"/>
        <w:jc w:val="both"/>
      </w:pPr>
      <w:r>
        <w:rPr>
          <w:color w:val="231F20"/>
        </w:rPr>
        <w:t>En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"/>
        </w:rPr>
        <w:t>très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vieille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cave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vin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transformé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maison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individuelle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Pont-de-la-Morge,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près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Sion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(VS).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Lors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rénovation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toiture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2018,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remplacé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chauffage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fuel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pompe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chaleur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posé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l’isolation.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Après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travaux,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consommation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diminué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61%,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73’800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kWh/a</w:t>
      </w:r>
    </w:p>
    <w:p w14:paraId="42555BB6" w14:textId="77777777" w:rsidR="00D13F2A" w:rsidRDefault="00515DA2">
      <w:pPr>
        <w:pStyle w:val="Textkrper"/>
        <w:spacing w:before="52" w:line="230" w:lineRule="exact"/>
        <w:jc w:val="both"/>
      </w:pPr>
      <w:r>
        <w:br w:type="column"/>
      </w:r>
      <w:r>
        <w:rPr>
          <w:color w:val="231F20"/>
        </w:rPr>
        <w:t>2’300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utilisé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chauffer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l’eau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piscine,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suffit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couv-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14’100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supplémentaires.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d’approvisionnement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énergétique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bâtiment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108%,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sans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compter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piscine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fourniture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bois-énergie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ex-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terne.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L’ancienne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cave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façades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d’origine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pierre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sont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ainsi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transfor-</w:t>
      </w:r>
    </w:p>
    <w:p w14:paraId="5FAC34F3" w14:textId="77777777" w:rsidR="00D13F2A" w:rsidRDefault="00515DA2">
      <w:pPr>
        <w:spacing w:before="76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 xml:space="preserve"> techniques</w:t>
      </w:r>
    </w:p>
    <w:p w14:paraId="6C783454" w14:textId="77777777" w:rsidR="00D13F2A" w:rsidRDefault="00D13F2A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A7C637D" w14:textId="77777777" w:rsidR="00D13F2A" w:rsidRDefault="00515DA2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17F5FE69">
          <v:group id="_x0000_s1041" style="width:167.25pt;height:.45pt;mso-position-horizontal-relative:char;mso-position-vertical-relative:line" coordsize="3345,9">
            <v:group id="_x0000_s1046" style="position:absolute;left:21;top:4;width:3311;height:2" coordorigin="21,4" coordsize="3311,2">
              <v:shape id="_x0000_s1047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4" style="position:absolute;left:4;top:4;width:2;height:2" coordorigin="4,4" coordsize="2,2">
              <v:shape id="_x0000_s1045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2" style="position:absolute;left:3341;top:4;width:2;height:2" coordorigin="3341,4" coordsize="2,2">
              <v:shape id="_x0000_s1043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1019EAE" w14:textId="77777777" w:rsidR="00D13F2A" w:rsidRDefault="00515DA2">
      <w:pPr>
        <w:spacing w:before="20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thermique</w:t>
      </w:r>
    </w:p>
    <w:p w14:paraId="6631651B" w14:textId="77777777" w:rsidR="00D13F2A" w:rsidRDefault="00515DA2">
      <w:pPr>
        <w:tabs>
          <w:tab w:val="left" w:pos="1712"/>
        </w:tabs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Mur: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 xml:space="preserve">Valeur U:         </w:t>
      </w:r>
      <w:r>
        <w:rPr>
          <w:rFonts w:ascii="Theinhardt Regular"/>
          <w:color w:val="231F20"/>
          <w:spacing w:val="1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0.84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1000AC3B" w14:textId="77777777" w:rsidR="00D13F2A" w:rsidRDefault="00515DA2">
      <w:pPr>
        <w:tabs>
          <w:tab w:val="left" w:pos="1203"/>
          <w:tab w:val="left" w:pos="2669"/>
        </w:tabs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Toit:</w:t>
      </w:r>
      <w:r>
        <w:rPr>
          <w:rFonts w:ascii="Theinhardt Regular"/>
          <w:color w:val="231F20"/>
          <w:spacing w:val="-1"/>
          <w:sz w:val="14"/>
        </w:rPr>
        <w:tab/>
      </w:r>
      <w:r>
        <w:rPr>
          <w:rFonts w:ascii="Theinhardt Regular"/>
          <w:color w:val="231F20"/>
          <w:spacing w:val="-4"/>
          <w:sz w:val="14"/>
        </w:rPr>
        <w:t>14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6"/>
          <w:sz w:val="14"/>
        </w:rPr>
        <w:t>0.17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4DC0ABC" w14:textId="77777777" w:rsidR="00D13F2A" w:rsidRDefault="00515DA2">
      <w:pPr>
        <w:tabs>
          <w:tab w:val="left" w:pos="1712"/>
          <w:tab w:val="left" w:pos="2738"/>
        </w:tabs>
        <w:spacing w:line="160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Sol: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Valeur U: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3"/>
          <w:sz w:val="14"/>
        </w:rPr>
        <w:t>1.6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89483B9" w14:textId="77777777" w:rsidR="00D13F2A" w:rsidRDefault="00515DA2">
      <w:pPr>
        <w:tabs>
          <w:tab w:val="left" w:pos="1712"/>
          <w:tab w:val="left" w:pos="2736"/>
        </w:tabs>
        <w:spacing w:line="172" w:lineRule="exact"/>
        <w:ind w:left="110"/>
        <w:jc w:val="both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Fênetre:</w:t>
      </w:r>
      <w:r>
        <w:rPr>
          <w:rFonts w:ascii="Theinhardt Regular" w:hAnsi="Theinhardt Regular"/>
          <w:color w:val="231F20"/>
          <w:spacing w:val="1"/>
          <w:sz w:val="14"/>
        </w:rPr>
        <w:tab/>
      </w:r>
      <w:r>
        <w:rPr>
          <w:rFonts w:ascii="Theinhardt Regular" w:hAnsi="Theinhardt Regular"/>
          <w:color w:val="231F20"/>
          <w:sz w:val="14"/>
        </w:rPr>
        <w:t>Valeur U:</w:t>
      </w:r>
      <w:r>
        <w:rPr>
          <w:rFonts w:ascii="Theinhardt Regular" w:hAnsi="Theinhardt Regular"/>
          <w:color w:val="231F20"/>
          <w:sz w:val="14"/>
        </w:rPr>
        <w:tab/>
      </w:r>
      <w:r>
        <w:rPr>
          <w:rFonts w:ascii="Theinhardt Regular" w:hAnsi="Theinhardt Regular"/>
          <w:color w:val="231F20"/>
          <w:spacing w:val="-2"/>
          <w:sz w:val="14"/>
        </w:rPr>
        <w:t>1.5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</w:p>
    <w:p w14:paraId="448E173D" w14:textId="77777777" w:rsidR="00D13F2A" w:rsidRDefault="00515DA2">
      <w:pPr>
        <w:tabs>
          <w:tab w:val="left" w:pos="1697"/>
          <w:tab w:val="left" w:pos="1882"/>
        </w:tabs>
        <w:spacing w:before="39" w:line="160" w:lineRule="exact"/>
        <w:ind w:left="110" w:right="168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Besoin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énergie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avant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rénovation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[100%|261%]</w:t>
      </w:r>
      <w:r>
        <w:rPr>
          <w:rFonts w:ascii="Theinhardt Bold" w:eastAsia="Theinhardt Bold" w:hAnsi="Theinhardt Bold" w:cs="Theinhardt Bold"/>
          <w:b/>
          <w:bCs/>
          <w:color w:val="231F20"/>
          <w:spacing w:val="4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SRE: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335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a   </w:t>
      </w:r>
      <w:r>
        <w:rPr>
          <w:rFonts w:ascii="Theinhardt Regular" w:eastAsia="Theinhardt Regular" w:hAnsi="Theinhardt Regular" w:cs="Theinhardt Regular"/>
          <w:color w:val="231F20"/>
          <w:spacing w:val="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%   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Total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énerg.: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220.3</w:t>
      </w:r>
      <w:r>
        <w:rPr>
          <w:rFonts w:ascii="Theinhardt Bold" w:eastAsia="Theinhardt Bold" w:hAnsi="Theinhardt Bold" w:cs="Theinhardt Bold"/>
          <w:b/>
          <w:bCs/>
          <w:color w:val="231F20"/>
          <w:spacing w:val="1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261</w:t>
      </w:r>
      <w:r>
        <w:rPr>
          <w:rFonts w:ascii="Theinhardt Regular" w:eastAsia="Theinhardt Regular" w:hAnsi="Theinhardt Regular" w:cs="Theinhardt Regular"/>
          <w:color w:val="231F20"/>
          <w:spacing w:val="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73’800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3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Besoin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énergie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après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rénovation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[38%|100%]</w:t>
      </w:r>
    </w:p>
    <w:p w14:paraId="1A1E607F" w14:textId="77777777" w:rsidR="00D13F2A" w:rsidRDefault="00D13F2A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66" w:space="106"/>
            <w:col w:w="3456" w:space="109"/>
            <w:col w:w="3573"/>
          </w:cols>
        </w:sectPr>
      </w:pPr>
    </w:p>
    <w:p w14:paraId="1A6899BE" w14:textId="77777777" w:rsidR="00D13F2A" w:rsidRDefault="00515DA2">
      <w:pPr>
        <w:pStyle w:val="Textkrper"/>
        <w:spacing w:line="135" w:lineRule="exact"/>
      </w:pPr>
      <w:r>
        <w:rPr>
          <w:color w:val="231F20"/>
        </w:rPr>
        <w:t>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28’300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Par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contre,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besoins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</w:p>
    <w:p w14:paraId="39DECAF1" w14:textId="77777777" w:rsidR="00D13F2A" w:rsidRDefault="00515DA2">
      <w:pPr>
        <w:pStyle w:val="Textkrper"/>
        <w:spacing w:line="134" w:lineRule="exact"/>
      </w:pPr>
      <w:r>
        <w:br w:type="column"/>
      </w:r>
      <w:r>
        <w:rPr>
          <w:color w:val="231F20"/>
        </w:rPr>
        <w:t xml:space="preserve">mées en </w:t>
      </w:r>
      <w:r>
        <w:rPr>
          <w:color w:val="231F20"/>
          <w:spacing w:val="1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29"/>
        </w:rPr>
        <w:t>P</w:t>
      </w:r>
      <w:r>
        <w:rPr>
          <w:color w:val="231F20"/>
        </w:rPr>
        <w:t>.</w:t>
      </w:r>
    </w:p>
    <w:p w14:paraId="331C4CE1" w14:textId="77777777" w:rsidR="00D13F2A" w:rsidRDefault="00515DA2">
      <w:pPr>
        <w:spacing w:line="139" w:lineRule="exact"/>
        <w:ind w:left="110"/>
        <w:rPr>
          <w:rFonts w:ascii="Theinhardt Regular" w:eastAsia="Theinhardt Regular" w:hAnsi="Theinhardt Regular" w:cs="Theinhardt Regular"/>
          <w:sz w:val="8"/>
          <w:szCs w:val="8"/>
        </w:rPr>
      </w:pPr>
      <w:r>
        <w:br w:type="column"/>
      </w:r>
      <w:r>
        <w:rPr>
          <w:rFonts w:ascii="Theinhardt Regular"/>
          <w:color w:val="231F20"/>
          <w:spacing w:val="1"/>
          <w:sz w:val="14"/>
        </w:rPr>
        <w:t>SRE:</w:t>
      </w:r>
      <w:r>
        <w:rPr>
          <w:rFonts w:ascii="Theinhardt Regular"/>
          <w:color w:val="231F20"/>
          <w:sz w:val="14"/>
        </w:rPr>
        <w:t xml:space="preserve"> 335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</w:p>
    <w:p w14:paraId="5FBE1899" w14:textId="77777777" w:rsidR="00D13F2A" w:rsidRDefault="00515DA2">
      <w:pPr>
        <w:tabs>
          <w:tab w:val="left" w:pos="946"/>
          <w:tab w:val="left" w:pos="1408"/>
        </w:tabs>
        <w:spacing w:line="139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1AC27CA7" w14:textId="77777777" w:rsidR="00D13F2A" w:rsidRDefault="00D13F2A">
      <w:pPr>
        <w:spacing w:line="139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num="4" w:space="720" w:equalWidth="0">
            <w:col w:w="3456" w:space="116"/>
            <w:col w:w="1164" w:space="2401"/>
            <w:col w:w="892" w:space="695"/>
            <w:col w:w="1986"/>
          </w:cols>
        </w:sectPr>
      </w:pPr>
    </w:p>
    <w:p w14:paraId="3234C8B1" w14:textId="77777777" w:rsidR="00D13F2A" w:rsidRDefault="00515DA2">
      <w:pPr>
        <w:pStyle w:val="Textkrper"/>
        <w:spacing w:before="101" w:line="232" w:lineRule="auto"/>
        <w:jc w:val="both"/>
      </w:pPr>
      <w:r>
        <w:pict w14:anchorId="532DC953">
          <v:shape id="_x0000_s1040" type="#_x0000_t75" style="position:absolute;left:0;text-align:left;margin-left:42.5pt;margin-top:148.9pt;width:345.85pt;height:221.8pt;z-index:-4000;mso-position-horizontal-relative:page">
            <v:imagedata r:id="rId6" o:title=""/>
            <w10:wrap anchorx="page"/>
          </v:shape>
        </w:pict>
      </w:r>
      <w:r>
        <w:rPr>
          <w:color w:val="231F20"/>
        </w:rPr>
        <w:t>chauffage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bâtiment</w:t>
      </w:r>
      <w:r>
        <w:rPr>
          <w:color w:val="231F20"/>
          <w:spacing w:val="-1"/>
        </w:rPr>
        <w:t xml:space="preserve"> d’une </w:t>
      </w:r>
      <w:r>
        <w:rPr>
          <w:color w:val="231F20"/>
        </w:rPr>
        <w:t>surface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ré-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férence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énergétique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335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3"/>
          <w:position w:val="6"/>
          <w:sz w:val="10"/>
          <w:szCs w:val="10"/>
        </w:rPr>
        <w:t xml:space="preserve"> </w:t>
      </w:r>
      <w:r>
        <w:rPr>
          <w:color w:val="231F20"/>
          <w:spacing w:val="-1"/>
        </w:rPr>
        <w:t>restent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éle-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vés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85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BEP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chauffé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l’énergie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solaire. Placée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manière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exemplaire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305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9"/>
          <w:position w:val="6"/>
          <w:sz w:val="10"/>
          <w:szCs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toiture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orientée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quatre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cardi-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naux,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l’installation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transfor-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véritable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centrale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solaire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30’600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modules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PV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foncé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leurs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finitions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latérales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2"/>
        </w:rPr>
        <w:t>cuivre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s’harmonisent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façades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pierre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grise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crépi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plâtre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blanc.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L’excédent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solaire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</w:p>
    <w:p w14:paraId="2E0406B8" w14:textId="77777777" w:rsidR="00D13F2A" w:rsidRDefault="00515DA2">
      <w:pPr>
        <w:spacing w:before="13"/>
        <w:rPr>
          <w:rFonts w:ascii="Theinhardt Regular" w:eastAsia="Theinhardt Regular" w:hAnsi="Theinhardt Regular" w:cs="Theinhardt Regular"/>
          <w:sz w:val="23"/>
          <w:szCs w:val="23"/>
        </w:rPr>
      </w:pPr>
      <w:r>
        <w:br w:type="column"/>
      </w:r>
    </w:p>
    <w:p w14:paraId="6B828134" w14:textId="77777777" w:rsidR="00D13F2A" w:rsidRDefault="00515DA2">
      <w:pPr>
        <w:spacing w:line="230" w:lineRule="exact"/>
        <w:ind w:left="110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Sanierung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Einfamilienhauses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Re-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5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vaz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in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Pont-de-la-Morge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bei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Sion/VS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konn-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Energiebedarf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73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’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800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auf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28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’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300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gesenkt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werden.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Dafür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sorgen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auf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jedem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Dach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jeweils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vorbildlich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ganzflächig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integrierte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PV-Anlagen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mit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einer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Gesamtleis-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tung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35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>kW.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1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Zusammen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generieren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sie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jährlich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30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’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600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Mit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dem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Solarstrom-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überschuss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2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’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300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kWh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pro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Jahr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erreicht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diese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PEB-Sanierung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einen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3"/>
          <w:sz w:val="18"/>
          <w:szCs w:val="18"/>
        </w:rPr>
        <w:t>Eigenenergiever-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sorgungsgrad von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108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 xml:space="preserve"> Prozent.</w:t>
      </w:r>
    </w:p>
    <w:p w14:paraId="08A3A938" w14:textId="77777777" w:rsidR="00D13F2A" w:rsidRDefault="00515DA2">
      <w:pPr>
        <w:tabs>
          <w:tab w:val="left" w:pos="1965"/>
          <w:tab w:val="left" w:pos="2932"/>
        </w:tabs>
        <w:spacing w:line="142" w:lineRule="exact"/>
        <w:ind w:left="110" w:hanging="1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Total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énerg.: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84.5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  </w:t>
      </w:r>
      <w:r>
        <w:rPr>
          <w:rFonts w:ascii="Theinhardt Bold" w:eastAsia="Theinhardt Bold" w:hAnsi="Theinhardt Bold" w:cs="Theinhardt Bold"/>
          <w:b/>
          <w:bCs/>
          <w:color w:val="231F20"/>
          <w:spacing w:val="9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28’300</w:t>
      </w:r>
    </w:p>
    <w:p w14:paraId="099F909B" w14:textId="77777777" w:rsidR="00D13F2A" w:rsidRDefault="00515DA2">
      <w:pPr>
        <w:spacing w:line="160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</w:p>
    <w:p w14:paraId="497B33D2" w14:textId="77BFB555" w:rsidR="00D13F2A" w:rsidRDefault="00515DA2">
      <w:pPr>
        <w:tabs>
          <w:tab w:val="left" w:pos="878"/>
          <w:tab w:val="left" w:pos="1418"/>
          <w:tab w:val="left" w:pos="1895"/>
          <w:tab w:val="left" w:pos="2533"/>
          <w:tab w:val="left" w:pos="2930"/>
        </w:tabs>
        <w:spacing w:before="6" w:line="207" w:lineRule="auto"/>
        <w:ind w:left="110" w:right="16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Autoprod.: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PV-Toit.: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305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35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100.3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 xml:space="preserve">108     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30’600</w:t>
      </w:r>
    </w:p>
    <w:p w14:paraId="167FCAE5" w14:textId="77777777" w:rsidR="00D13F2A" w:rsidRDefault="00515DA2">
      <w:pPr>
        <w:tabs>
          <w:tab w:val="left" w:pos="2533"/>
          <w:tab w:val="left" w:pos="2995"/>
        </w:tabs>
        <w:spacing w:before="38"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Bilan</w:t>
      </w:r>
      <w:r>
        <w:rPr>
          <w:rFonts w:ascii="Theinhardt Bold" w:hAnsi="Theinhardt Bold"/>
          <w:b/>
          <w:color w:val="231F20"/>
          <w:spacing w:val="-2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énergétique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(énergie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finale)</w:t>
      </w:r>
      <w:r>
        <w:rPr>
          <w:rFonts w:ascii="Theinhardt Bold" w:hAnsi="Theinhardt Bold"/>
          <w:b/>
          <w:color w:val="231F20"/>
          <w:spacing w:val="1"/>
          <w:sz w:val="14"/>
        </w:rPr>
        <w:tab/>
      </w:r>
      <w:r>
        <w:rPr>
          <w:rFonts w:ascii="Theinhardt Regular" w:hAnsi="Theinhardt Regular"/>
          <w:color w:val="231F20"/>
          <w:sz w:val="14"/>
        </w:rPr>
        <w:t>%</w:t>
      </w:r>
      <w:r>
        <w:rPr>
          <w:rFonts w:ascii="Theinhardt Regular" w:hAnsi="Theinhardt Regular"/>
          <w:color w:val="231F20"/>
          <w:sz w:val="14"/>
        </w:rPr>
        <w:tab/>
      </w:r>
      <w:r>
        <w:rPr>
          <w:rFonts w:ascii="Theinhardt Regular" w:hAnsi="Theinhardt Regular"/>
          <w:color w:val="231F20"/>
          <w:spacing w:val="-1"/>
          <w:sz w:val="14"/>
        </w:rPr>
        <w:t>kWh/a</w:t>
      </w:r>
    </w:p>
    <w:p w14:paraId="3F97713B" w14:textId="77777777" w:rsidR="00D13F2A" w:rsidRDefault="00515DA2">
      <w:pPr>
        <w:tabs>
          <w:tab w:val="left" w:pos="2413"/>
          <w:tab w:val="left" w:pos="2930"/>
        </w:tabs>
        <w:spacing w:line="160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Alimentation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énergétique: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>108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30’600</w:t>
      </w:r>
    </w:p>
    <w:p w14:paraId="2FDFCD8F" w14:textId="77777777" w:rsidR="00D13F2A" w:rsidRDefault="00515DA2">
      <w:pPr>
        <w:tabs>
          <w:tab w:val="left" w:pos="2413"/>
          <w:tab w:val="left" w:pos="2941"/>
        </w:tabs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Total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besoins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énerg.: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28’300</w:t>
      </w:r>
    </w:p>
    <w:p w14:paraId="37DDBAB8" w14:textId="77777777" w:rsidR="00D13F2A" w:rsidRDefault="00515DA2">
      <w:pPr>
        <w:tabs>
          <w:tab w:val="left" w:pos="2578"/>
          <w:tab w:val="left" w:pos="3023"/>
        </w:tabs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Surplus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d'électricité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solaire: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8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2’300</w:t>
      </w:r>
    </w:p>
    <w:p w14:paraId="50510188" w14:textId="77777777" w:rsidR="00D13F2A" w:rsidRDefault="00515DA2">
      <w:pPr>
        <w:spacing w:before="39" w:line="160" w:lineRule="exact"/>
        <w:ind w:left="110" w:right="56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2"/>
          <w:sz w:val="14"/>
        </w:rPr>
        <w:t>OIKEN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 xml:space="preserve">07 </w:t>
      </w:r>
      <w:r>
        <w:rPr>
          <w:rFonts w:ascii="Theinhardt Regular" w:hAnsi="Theinhardt Regular"/>
          <w:color w:val="231F20"/>
          <w:spacing w:val="1"/>
          <w:sz w:val="14"/>
        </w:rPr>
        <w:t>avril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z w:val="14"/>
        </w:rPr>
        <w:t>2020</w:t>
      </w:r>
      <w:r>
        <w:rPr>
          <w:rFonts w:ascii="Theinhardt Regular" w:hAnsi="Theinhardt Regular"/>
          <w:color w:val="231F20"/>
          <w:spacing w:val="22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Alexandre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Torrent,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617</w:t>
      </w:r>
      <w:r>
        <w:rPr>
          <w:rFonts w:ascii="Theinhardt Regular" w:hAnsi="Theinhardt Regular"/>
          <w:color w:val="231F20"/>
          <w:sz w:val="14"/>
        </w:rPr>
        <w:t xml:space="preserve"> 30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</w:p>
    <w:p w14:paraId="4EB48C55" w14:textId="77777777" w:rsidR="00D13F2A" w:rsidRDefault="00515DA2">
      <w:pPr>
        <w:spacing w:before="113" w:line="160" w:lineRule="exact"/>
        <w:ind w:left="110" w:right="20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*Les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recherches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effectuées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par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bibliothèques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scientifiques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cantonales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ainsi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que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par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Jean-Christo-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phe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Moret,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archéologue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historien,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en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relation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avec</w:t>
      </w:r>
      <w:r>
        <w:rPr>
          <w:rFonts w:ascii="Theinhardt Regular" w:eastAsia="Theinhardt Regular" w:hAnsi="Theinhardt Regular" w:cs="Theinhardt Regular"/>
          <w:color w:val="231F20"/>
          <w:spacing w:val="5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d’autres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bâtiments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ou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vestiges,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suggèrent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que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les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plus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anciens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éléments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ce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vieux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bâtiment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remon-</w:t>
      </w:r>
      <w:r>
        <w:rPr>
          <w:rFonts w:ascii="Theinhardt Regular" w:eastAsia="Theinhardt Regular" w:hAnsi="Theinhardt Regular" w:cs="Theinhardt Regular"/>
          <w:color w:val="231F20"/>
          <w:spacing w:val="3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tent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au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XVe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siècle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(peut-être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1439).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Il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pourrait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donc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s’agir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du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plus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ancien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BEP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Suisse.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(cf.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étude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d'un</w:t>
      </w:r>
      <w:r>
        <w:rPr>
          <w:rFonts w:ascii="Theinhardt Regular" w:eastAsia="Theinhardt Regular" w:hAnsi="Theinhardt Regular" w:cs="Theinhardt Regular"/>
          <w:color w:val="231F20"/>
          <w:spacing w:val="4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ancien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rural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situé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à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la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Route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Châtroz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23,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à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Pont-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de-la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Morge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près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de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Sion).</w:t>
      </w:r>
    </w:p>
    <w:p w14:paraId="7F786F1E" w14:textId="77777777" w:rsidR="00D13F2A" w:rsidRDefault="00515DA2">
      <w:pPr>
        <w:spacing w:before="105"/>
        <w:ind w:left="110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 w:hAnsi="Theinhardt Black"/>
          <w:b/>
          <w:color w:val="231F20"/>
          <w:spacing w:val="1"/>
          <w:sz w:val="14"/>
        </w:rPr>
        <w:t>Personnes</w:t>
      </w:r>
      <w:r>
        <w:rPr>
          <w:rFonts w:ascii="Theinhardt Black" w:hAnsi="Theinhardt Black"/>
          <w:b/>
          <w:color w:val="231F20"/>
          <w:sz w:val="14"/>
        </w:rPr>
        <w:t xml:space="preserve"> impliquées:</w:t>
      </w:r>
    </w:p>
    <w:p w14:paraId="4A4BD4B9" w14:textId="77777777" w:rsidR="00D13F2A" w:rsidRDefault="00D13F2A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A2C9CBD" w14:textId="77777777" w:rsidR="00D13F2A" w:rsidRDefault="00515DA2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4AC652F5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C85EF33" w14:textId="77777777" w:rsidR="00D13F2A" w:rsidRDefault="00515DA2">
      <w:pPr>
        <w:spacing w:before="20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Adresse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l'installation</w:t>
      </w:r>
    </w:p>
    <w:p w14:paraId="393670FD" w14:textId="77777777" w:rsidR="00D13F2A" w:rsidRDefault="00515DA2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Route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Châtroz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23,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1962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Pont-de-la-Morge</w:t>
      </w:r>
    </w:p>
    <w:p w14:paraId="78995E51" w14:textId="77777777" w:rsidR="00D13F2A" w:rsidRDefault="00515DA2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213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79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1</w:t>
      </w:r>
      <w:hyperlink r:id="rId7">
        <w:r>
          <w:rPr>
            <w:rFonts w:ascii="Theinhardt Regular" w:hAnsi="Theinhardt Regular"/>
            <w:color w:val="231F20"/>
            <w:spacing w:val="-3"/>
            <w:sz w:val="14"/>
          </w:rPr>
          <w:t>2,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1"/>
            <w:sz w:val="14"/>
          </w:rPr>
          <w:t>pierre-alain.revaz@bluewin.ch</w:t>
        </w:r>
      </w:hyperlink>
    </w:p>
    <w:p w14:paraId="2EC44369" w14:textId="77777777" w:rsidR="00D13F2A" w:rsidRDefault="00515DA2">
      <w:pPr>
        <w:spacing w:before="32" w:line="172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Installation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photovoltaïque</w:t>
      </w:r>
    </w:p>
    <w:p w14:paraId="3A5AE1E5" w14:textId="77777777" w:rsidR="00D13F2A" w:rsidRDefault="00515DA2">
      <w:pPr>
        <w:spacing w:before="6" w:line="207" w:lineRule="auto"/>
        <w:ind w:left="110" w:right="56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i-watt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Sàrl,</w:t>
      </w:r>
      <w:r>
        <w:rPr>
          <w:rFonts w:ascii="Theinhardt Regular" w:hAnsi="Theinhardt Regular"/>
          <w:color w:val="231F20"/>
          <w:sz w:val="14"/>
        </w:rPr>
        <w:t xml:space="preserve"> Yvan </w:t>
      </w:r>
      <w:r>
        <w:rPr>
          <w:rFonts w:ascii="Theinhardt Regular" w:hAnsi="Theinhardt Regular"/>
          <w:color w:val="231F20"/>
          <w:spacing w:val="2"/>
          <w:sz w:val="14"/>
        </w:rPr>
        <w:t>Laterza</w:t>
      </w:r>
      <w:r>
        <w:rPr>
          <w:rFonts w:ascii="Theinhardt Regular" w:hAnsi="Theinhardt Regular"/>
          <w:color w:val="231F20"/>
          <w:sz w:val="14"/>
        </w:rPr>
        <w:t xml:space="preserve"> &amp; </w:t>
      </w:r>
      <w:r>
        <w:rPr>
          <w:rFonts w:ascii="Theinhardt Regular" w:hAnsi="Theinhardt Regular"/>
          <w:color w:val="231F20"/>
          <w:spacing w:val="1"/>
          <w:sz w:val="14"/>
        </w:rPr>
        <w:t>Mathieu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3"/>
          <w:sz w:val="14"/>
        </w:rPr>
        <w:t>Crettaz</w:t>
      </w:r>
      <w:r>
        <w:rPr>
          <w:rFonts w:ascii="Theinhardt Regular" w:hAnsi="Theinhardt Regular"/>
          <w:color w:val="231F20"/>
          <w:spacing w:val="36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Route</w:t>
      </w:r>
      <w:r>
        <w:rPr>
          <w:rFonts w:ascii="Theinhardt Regular" w:hAnsi="Theinhardt Regular"/>
          <w:color w:val="231F20"/>
          <w:sz w:val="14"/>
        </w:rPr>
        <w:t xml:space="preserve"> du </w:t>
      </w:r>
      <w:r>
        <w:rPr>
          <w:rFonts w:ascii="Theinhardt Regular" w:hAnsi="Theinhardt Regular"/>
          <w:color w:val="231F20"/>
          <w:spacing w:val="1"/>
          <w:sz w:val="14"/>
        </w:rPr>
        <w:t>Levant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5"/>
          <w:sz w:val="14"/>
        </w:rPr>
        <w:t>167,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1920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Martigny</w:t>
      </w:r>
    </w:p>
    <w:p w14:paraId="4B98E45C" w14:textId="77777777" w:rsidR="00D13F2A" w:rsidRDefault="00515DA2">
      <w:pPr>
        <w:spacing w:line="154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27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552</w:t>
      </w:r>
      <w:r>
        <w:rPr>
          <w:rFonts w:ascii="Theinhardt Regular" w:hAnsi="Theinhardt Regular"/>
          <w:color w:val="231F20"/>
          <w:sz w:val="14"/>
        </w:rPr>
        <w:t xml:space="preserve"> 02 </w:t>
      </w:r>
      <w:r>
        <w:rPr>
          <w:rFonts w:ascii="Theinhardt Regular" w:hAnsi="Theinhardt Regular"/>
          <w:color w:val="231F20"/>
          <w:spacing w:val="1"/>
          <w:sz w:val="14"/>
        </w:rPr>
        <w:t>00</w:t>
      </w:r>
      <w:hyperlink r:id="rId8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 xml:space="preserve"> </w:t>
        </w:r>
        <w:r>
          <w:rPr>
            <w:rFonts w:ascii="Theinhardt Regular" w:hAnsi="Theinhardt Regular"/>
            <w:color w:val="231F20"/>
            <w:spacing w:val="2"/>
            <w:sz w:val="14"/>
          </w:rPr>
          <w:t>info@i-watt.ch</w:t>
        </w:r>
      </w:hyperlink>
    </w:p>
    <w:p w14:paraId="437D72EA" w14:textId="77777777" w:rsidR="00D13F2A" w:rsidRDefault="00515DA2">
      <w:pPr>
        <w:spacing w:line="160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Panneaux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photovoltaïques</w:t>
      </w:r>
    </w:p>
    <w:p w14:paraId="3EAE5E83" w14:textId="77777777" w:rsidR="00D13F2A" w:rsidRDefault="00515DA2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 xml:space="preserve">Toiture </w:t>
      </w:r>
      <w:r>
        <w:rPr>
          <w:rFonts w:ascii="Theinhardt Regular"/>
          <w:color w:val="231F20"/>
          <w:spacing w:val="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noir,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166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Wc/m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  <w:r>
        <w:rPr>
          <w:rFonts w:ascii="Theinhardt Regular"/>
          <w:color w:val="231F20"/>
          <w:spacing w:val="-1"/>
          <w:sz w:val="14"/>
        </w:rPr>
        <w:t>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870</w:t>
      </w:r>
      <w:r>
        <w:rPr>
          <w:rFonts w:ascii="Theinhardt Regular"/>
          <w:color w:val="231F20"/>
          <w:sz w:val="14"/>
        </w:rPr>
        <w:t xml:space="preserve"> x </w:t>
      </w:r>
      <w:r>
        <w:rPr>
          <w:rFonts w:ascii="Theinhardt Regular"/>
          <w:color w:val="231F20"/>
          <w:spacing w:val="-1"/>
          <w:sz w:val="14"/>
        </w:rPr>
        <w:t>870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mm</w:t>
      </w:r>
    </w:p>
    <w:p w14:paraId="426CA9D2" w14:textId="77777777" w:rsidR="00D13F2A" w:rsidRDefault="00515DA2">
      <w:pPr>
        <w:spacing w:line="160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3"/>
          <w:sz w:val="14"/>
        </w:rPr>
        <w:t>SUNSTYLE</w:t>
      </w:r>
      <w:r>
        <w:rPr>
          <w:rFonts w:ascii="Theinhardt Regular"/>
          <w:color w:val="231F20"/>
          <w:sz w:val="14"/>
        </w:rPr>
        <w:t xml:space="preserve"> AG, </w:t>
      </w:r>
      <w:r>
        <w:rPr>
          <w:rFonts w:ascii="Theinhardt Regular"/>
          <w:color w:val="231F20"/>
          <w:spacing w:val="2"/>
          <w:sz w:val="14"/>
        </w:rPr>
        <w:t>Bernstrasse</w:t>
      </w:r>
      <w:r>
        <w:rPr>
          <w:rFonts w:ascii="Theinhardt Regular"/>
          <w:color w:val="231F20"/>
          <w:sz w:val="14"/>
        </w:rPr>
        <w:t xml:space="preserve"> 54, 3072 </w:t>
      </w:r>
      <w:r>
        <w:rPr>
          <w:rFonts w:ascii="Theinhardt Regular"/>
          <w:color w:val="231F20"/>
          <w:spacing w:val="2"/>
          <w:sz w:val="14"/>
        </w:rPr>
        <w:t>Ostermundigen</w:t>
      </w:r>
    </w:p>
    <w:p w14:paraId="5DBBBC26" w14:textId="77777777" w:rsidR="00D13F2A" w:rsidRDefault="00515DA2">
      <w:pPr>
        <w:spacing w:line="172" w:lineRule="exact"/>
        <w:ind w:left="11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31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300</w:t>
      </w:r>
      <w:r>
        <w:rPr>
          <w:rFonts w:ascii="Theinhardt Regular" w:hAnsi="Theinhardt Regular"/>
          <w:color w:val="231F20"/>
          <w:sz w:val="14"/>
        </w:rPr>
        <w:t xml:space="preserve"> 30 20</w:t>
      </w:r>
      <w:hyperlink r:id="rId9">
        <w:r>
          <w:rPr>
            <w:rFonts w:ascii="Theinhardt Regular" w:hAnsi="Theinhardt Regular"/>
            <w:color w:val="231F20"/>
            <w:sz w:val="14"/>
          </w:rPr>
          <w:t xml:space="preserve">, </w:t>
        </w:r>
        <w:r>
          <w:rPr>
            <w:rFonts w:ascii="Theinhardt Regular" w:hAnsi="Theinhardt Regular"/>
            <w:color w:val="231F20"/>
            <w:spacing w:val="2"/>
            <w:sz w:val="14"/>
          </w:rPr>
          <w:t>info@sunstyle.com</w:t>
        </w:r>
      </w:hyperlink>
    </w:p>
    <w:p w14:paraId="062DD600" w14:textId="77777777" w:rsidR="00D13F2A" w:rsidRDefault="00D13F2A">
      <w:pPr>
        <w:spacing w:line="172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456" w:space="116"/>
            <w:col w:w="3456" w:space="109"/>
            <w:col w:w="3573"/>
          </w:cols>
        </w:sectPr>
      </w:pPr>
    </w:p>
    <w:p w14:paraId="27776976" w14:textId="77777777" w:rsidR="00D13F2A" w:rsidRDefault="00D13F2A">
      <w:pPr>
        <w:spacing w:before="10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2B1594D5" w14:textId="77777777" w:rsidR="00D13F2A" w:rsidRDefault="00515DA2">
      <w:pPr>
        <w:spacing w:line="20" w:lineRule="atLeast"/>
        <w:ind w:left="7247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2755D08E">
          <v:group id="_x0000_s1026" style="width:167.25pt;height:.45pt;mso-position-horizontal-relative:char;mso-position-vertical-relative:line" coordsize="3345,9">
            <v:group id="_x0000_s1031" style="position:absolute;left:21;top:4;width:3311;height:2" coordorigin="21,4" coordsize="3311,2">
              <v:shape id="_x0000_s103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29" style="position:absolute;left:4;top:4;width:2;height:2" coordorigin="4,4" coordsize="2,2">
              <v:shape id="_x0000_s103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27" style="position:absolute;left:3341;top:4;width:2;height:2" coordorigin="3341,4" coordsize="2,2">
              <v:shape id="_x0000_s102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75FB755C" w14:textId="77777777" w:rsidR="00D13F2A" w:rsidRDefault="00D13F2A">
      <w:pPr>
        <w:spacing w:before="3"/>
        <w:rPr>
          <w:rFonts w:ascii="Theinhardt Regular" w:eastAsia="Theinhardt Regular" w:hAnsi="Theinhardt Regular" w:cs="Theinhardt Regular"/>
          <w:sz w:val="7"/>
          <w:szCs w:val="7"/>
        </w:rPr>
      </w:pPr>
    </w:p>
    <w:p w14:paraId="4AD23D49" w14:textId="77777777" w:rsidR="00D13F2A" w:rsidRDefault="00515DA2">
      <w:pPr>
        <w:spacing w:line="200" w:lineRule="atLeast"/>
        <w:ind w:left="7253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noProof/>
          <w:sz w:val="20"/>
          <w:szCs w:val="20"/>
        </w:rPr>
        <w:drawing>
          <wp:inline distT="0" distB="0" distL="0" distR="0" wp14:anchorId="222E999A" wp14:editId="70C75D64">
            <wp:extent cx="2133887" cy="113080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887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604E3" w14:textId="77777777" w:rsidR="00D13F2A" w:rsidRDefault="00515DA2">
      <w:pPr>
        <w:tabs>
          <w:tab w:val="left" w:pos="7251"/>
        </w:tabs>
        <w:spacing w:before="4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</w:r>
      <w:r>
        <w:rPr>
          <w:rFonts w:ascii="Theinhardt Bold"/>
          <w:b/>
          <w:color w:val="231F20"/>
          <w:position w:val="2"/>
          <w:sz w:val="14"/>
        </w:rPr>
        <w:t>2</w:t>
      </w:r>
    </w:p>
    <w:p w14:paraId="767683D4" w14:textId="77777777" w:rsidR="00D13F2A" w:rsidRDefault="00D13F2A">
      <w:pPr>
        <w:spacing w:before="5"/>
        <w:rPr>
          <w:rFonts w:ascii="Theinhardt Bold" w:eastAsia="Theinhardt Bold" w:hAnsi="Theinhardt Bold" w:cs="Theinhardt Bold"/>
          <w:b/>
          <w:bCs/>
          <w:sz w:val="18"/>
          <w:szCs w:val="18"/>
        </w:rPr>
      </w:pPr>
    </w:p>
    <w:p w14:paraId="3BAC5686" w14:textId="77777777" w:rsidR="00D13F2A" w:rsidRDefault="00D13F2A">
      <w:pPr>
        <w:rPr>
          <w:rFonts w:ascii="Theinhardt Bold" w:eastAsia="Theinhardt Bold" w:hAnsi="Theinhardt Bold" w:cs="Theinhardt Bold"/>
          <w:sz w:val="18"/>
          <w:szCs w:val="18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space="720"/>
        </w:sectPr>
      </w:pPr>
    </w:p>
    <w:p w14:paraId="5D802BEB" w14:textId="77777777" w:rsidR="00D13F2A" w:rsidRDefault="00515DA2">
      <w:pPr>
        <w:numPr>
          <w:ilvl w:val="0"/>
          <w:numId w:val="1"/>
        </w:numPr>
        <w:tabs>
          <w:tab w:val="left" w:pos="338"/>
        </w:tabs>
        <w:spacing w:before="76"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Composée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modules suisses SUNSTYLE,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l’installation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35 kW en toiture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génère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30’600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première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moitié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2020</w:t>
      </w:r>
      <w:r>
        <w:rPr>
          <w:rFonts w:ascii="Theinhardt Bold" w:eastAsia="Theinhardt Bold" w:hAnsi="Theinhardt Bold" w:cs="Theinhardt Bold"/>
          <w:b/>
          <w:bCs/>
          <w:color w:val="231F20"/>
          <w:spacing w:val="24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ayant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été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très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ensoleillée,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rendement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solaire</w:t>
      </w:r>
    </w:p>
    <w:p w14:paraId="1921BD07" w14:textId="77777777" w:rsidR="00D13F2A" w:rsidRDefault="00515DA2">
      <w:pPr>
        <w:spacing w:before="76" w:line="160" w:lineRule="exact"/>
        <w:ind w:left="110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est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plus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élevé.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vertu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l’art.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8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Cst.,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tout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pacing w:val="29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monde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est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égal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devant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loi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(cf.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questions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juridiques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et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considérations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du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jury,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p.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44).</w:t>
      </w:r>
    </w:p>
    <w:p w14:paraId="3E5D632D" w14:textId="77777777" w:rsidR="00D13F2A" w:rsidRDefault="00515DA2">
      <w:pPr>
        <w:numPr>
          <w:ilvl w:val="0"/>
          <w:numId w:val="1"/>
        </w:numPr>
        <w:tabs>
          <w:tab w:val="left" w:pos="338"/>
        </w:tabs>
        <w:spacing w:before="90" w:line="160" w:lineRule="exact"/>
        <w:ind w:right="26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rénovation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du toit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la villa Revaz a permis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d’en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renforcer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l’isolation et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d’y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intégrer une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installation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sur toute la surface.</w:t>
      </w:r>
    </w:p>
    <w:p w14:paraId="1FB28094" w14:textId="77777777" w:rsidR="00D13F2A" w:rsidRDefault="00D13F2A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D13F2A">
          <w:type w:val="continuous"/>
          <w:pgSz w:w="11910" w:h="16840"/>
          <w:pgMar w:top="840" w:right="460" w:bottom="280" w:left="740" w:header="720" w:footer="720" w:gutter="0"/>
          <w:cols w:num="3" w:space="720" w:equalWidth="0">
            <w:col w:w="3396" w:space="403"/>
            <w:col w:w="3082" w:space="263"/>
            <w:col w:w="3566"/>
          </w:cols>
        </w:sectPr>
      </w:pPr>
    </w:p>
    <w:p w14:paraId="1DFB6F55" w14:textId="77777777" w:rsidR="00D13F2A" w:rsidRDefault="00D13F2A">
      <w:pPr>
        <w:spacing w:before="12"/>
        <w:rPr>
          <w:rFonts w:ascii="Theinhardt Bold" w:eastAsia="Theinhardt Bold" w:hAnsi="Theinhardt Bold" w:cs="Theinhardt Bold"/>
          <w:b/>
          <w:bCs/>
        </w:rPr>
      </w:pPr>
    </w:p>
    <w:p w14:paraId="51EAC0E2" w14:textId="77777777" w:rsidR="00D13F2A" w:rsidRDefault="00515DA2">
      <w:pPr>
        <w:spacing w:before="70"/>
        <w:ind w:left="666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2020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2020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69</w:t>
      </w:r>
    </w:p>
    <w:sectPr w:rsidR="00D13F2A">
      <w:type w:val="continuous"/>
      <w:pgSz w:w="11910" w:h="16840"/>
      <w:pgMar w:top="84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30F13"/>
    <w:multiLevelType w:val="hybridMultilevel"/>
    <w:tmpl w:val="F9DACCAC"/>
    <w:lvl w:ilvl="0" w:tplc="89D63F6A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1DE8D7A8">
      <w:start w:val="1"/>
      <w:numFmt w:val="bullet"/>
      <w:lvlText w:val="•"/>
      <w:lvlJc w:val="left"/>
      <w:pPr>
        <w:ind w:left="643" w:hanging="227"/>
      </w:pPr>
      <w:rPr>
        <w:rFonts w:hint="default"/>
      </w:rPr>
    </w:lvl>
    <w:lvl w:ilvl="2" w:tplc="E58249F6">
      <w:start w:val="1"/>
      <w:numFmt w:val="bullet"/>
      <w:lvlText w:val="•"/>
      <w:lvlJc w:val="left"/>
      <w:pPr>
        <w:ind w:left="948" w:hanging="227"/>
      </w:pPr>
      <w:rPr>
        <w:rFonts w:hint="default"/>
      </w:rPr>
    </w:lvl>
    <w:lvl w:ilvl="3" w:tplc="B80E9FFC">
      <w:start w:val="1"/>
      <w:numFmt w:val="bullet"/>
      <w:lvlText w:val="•"/>
      <w:lvlJc w:val="left"/>
      <w:pPr>
        <w:ind w:left="1254" w:hanging="227"/>
      </w:pPr>
      <w:rPr>
        <w:rFonts w:hint="default"/>
      </w:rPr>
    </w:lvl>
    <w:lvl w:ilvl="4" w:tplc="186E83A6">
      <w:start w:val="1"/>
      <w:numFmt w:val="bullet"/>
      <w:lvlText w:val="•"/>
      <w:lvlJc w:val="left"/>
      <w:pPr>
        <w:ind w:left="1560" w:hanging="227"/>
      </w:pPr>
      <w:rPr>
        <w:rFonts w:hint="default"/>
      </w:rPr>
    </w:lvl>
    <w:lvl w:ilvl="5" w:tplc="10B2E24A">
      <w:start w:val="1"/>
      <w:numFmt w:val="bullet"/>
      <w:lvlText w:val="•"/>
      <w:lvlJc w:val="left"/>
      <w:pPr>
        <w:ind w:left="1866" w:hanging="227"/>
      </w:pPr>
      <w:rPr>
        <w:rFonts w:hint="default"/>
      </w:rPr>
    </w:lvl>
    <w:lvl w:ilvl="6" w:tplc="F6607FBA">
      <w:start w:val="1"/>
      <w:numFmt w:val="bullet"/>
      <w:lvlText w:val="•"/>
      <w:lvlJc w:val="left"/>
      <w:pPr>
        <w:ind w:left="2172" w:hanging="227"/>
      </w:pPr>
      <w:rPr>
        <w:rFonts w:hint="default"/>
      </w:rPr>
    </w:lvl>
    <w:lvl w:ilvl="7" w:tplc="A1AEFA64">
      <w:start w:val="1"/>
      <w:numFmt w:val="bullet"/>
      <w:lvlText w:val="•"/>
      <w:lvlJc w:val="left"/>
      <w:pPr>
        <w:ind w:left="2477" w:hanging="227"/>
      </w:pPr>
      <w:rPr>
        <w:rFonts w:hint="default"/>
      </w:rPr>
    </w:lvl>
    <w:lvl w:ilvl="8" w:tplc="57EA120E">
      <w:start w:val="1"/>
      <w:numFmt w:val="bullet"/>
      <w:lvlText w:val="•"/>
      <w:lvlJc w:val="left"/>
      <w:pPr>
        <w:ind w:left="27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F2A"/>
    <w:rsid w:val="00515DA2"/>
    <w:rsid w:val="00D1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3BBF3A53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28"/>
      <w:ind w:left="110"/>
      <w:outlineLvl w:val="0"/>
    </w:pPr>
    <w:rPr>
      <w:rFonts w:ascii="Theinhardt Bold" w:eastAsia="Theinhardt Bold" w:hAnsi="Theinhardt Bold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"/>
      <w:ind w:left="11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-watt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erre-alain.revaz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nfo@sunsty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4279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2020-10-07T12:04:00Z</dcterms:created>
  <dcterms:modified xsi:type="dcterms:W3CDTF">2020-10-07T10:04:00Z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