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0FFB" w14:textId="77777777" w:rsidR="003A73DB" w:rsidRDefault="009D39E8">
      <w:pPr>
        <w:tabs>
          <w:tab w:val="left" w:pos="2549"/>
        </w:tabs>
        <w:spacing w:before="28" w:line="230" w:lineRule="exact"/>
        <w:ind w:left="110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265C1255">
          <v:group id="_x0000_s1055" style="position:absolute;left:0;text-align:left;margin-left:42.75pt;margin-top:13.65pt;width:.1pt;height:.1pt;z-index:-6016;mso-position-horizontal-relative:page" coordorigin="855,273" coordsize="2,2">
            <v:shape id="_x0000_s1056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35381FF8">
          <v:group id="_x0000_s1053" style="position:absolute;left:0;text-align:left;margin-left:164.9pt;margin-top:13.65pt;width:.1pt;height:.1pt;z-index:1120;mso-position-horizontal-relative:page" coordorigin="3298,273" coordsize="2,2">
            <v:shape id="_x0000_s1054" style="position:absolute;left:3298;top:273;width:2;height:2" coordorigin="3298,273" coordsize="0,0" path="m3298,273r,e" filled="f" strokecolor="#231f20" strokeweight=".14994mm">
              <v:path arrowok="t"/>
            </v:shape>
            <w10:wrap anchorx="page"/>
          </v:group>
        </w:pict>
      </w:r>
      <w:r>
        <w:pict w14:anchorId="452F45CF">
          <v:group id="_x0000_s1051" style="position:absolute;left:0;text-align:left;margin-left:42.75pt;margin-top:25.15pt;width:.1pt;height:.1pt;z-index:-5968;mso-position-horizontal-relative:page" coordorigin="855,503" coordsize="2,2">
            <v:shape id="_x0000_s1052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4195F270">
          <v:group id="_x0000_s1049" style="position:absolute;left:0;text-align:left;margin-left:164.9pt;margin-top:25.15pt;width:.1pt;height:.1pt;z-index:1168;mso-position-horizontal-relative:page" coordorigin="3298,503" coordsize="2,2">
            <v:shape id="_x0000_s1050" style="position:absolute;left:3298;top:503;width:2;height:2" coordorigin="3298,503" coordsize="0,0" path="m3298,503r,e" filled="f" strokecolor="#231f20" strokeweight=".14994mm">
              <v:path arrowok="t"/>
            </v:shape>
            <w10:wrap anchorx="page"/>
          </v:group>
        </w:pict>
      </w:r>
      <w:r>
        <w:pict w14:anchorId="30827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2.5pt;margin-top:53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2020</w:t>
      </w:r>
    </w:p>
    <w:p w14:paraId="020FF0C5" w14:textId="77777777" w:rsidR="003A73DB" w:rsidRDefault="009D39E8">
      <w:pPr>
        <w:spacing w:before="28" w:line="230" w:lineRule="exact"/>
        <w:ind w:left="110" w:right="11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verbundenen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Doppeleinfamilienhäuser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Kägiswil/OW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4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Wohnungen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wurden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an-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fangs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bezogen.</w:t>
      </w:r>
      <w:r>
        <w:rPr>
          <w:rFonts w:ascii="Theinhardt Bold" w:eastAsia="Theinhardt Bold" w:hAnsi="Theinhardt Bold" w:cs="Theinhardt Bold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konsumieren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Jahr.</w:t>
      </w:r>
      <w:r>
        <w:rPr>
          <w:rFonts w:ascii="Theinhardt Bold" w:eastAsia="Theinhardt Bold" w:hAnsi="Theinhardt Bold" w:cs="Theinhardt Bold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beiden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schön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integrierten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PV-Anlagen auf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Dächern mit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25 kW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Leistung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sind in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alle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4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Himmelsrichtungen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orientiert.</w:t>
      </w:r>
      <w:r>
        <w:rPr>
          <w:rFonts w:ascii="Theinhardt Bold" w:eastAsia="Theinhardt Bold" w:hAnsi="Theinhardt Bold" w:cs="Theinhardt Bold"/>
          <w:b/>
          <w:bCs/>
          <w:color w:val="231F20"/>
          <w:spacing w:val="7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erzeugen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48’600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Strom.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erste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PlusEnergieBau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Kantons</w:t>
      </w:r>
      <w:r>
        <w:rPr>
          <w:rFonts w:ascii="Theinhardt Bold" w:eastAsia="Theinhardt Bold" w:hAnsi="Theinhardt Bold" w:cs="Theinhardt Bold"/>
          <w:b/>
          <w:bCs/>
          <w:color w:val="231F20"/>
          <w:spacing w:val="8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Obwalden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27’800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Eigenenergieversor-</w:t>
      </w:r>
      <w:r>
        <w:rPr>
          <w:rFonts w:ascii="Theinhardt Bold" w:eastAsia="Theinhardt Bold" w:hAnsi="Theinhardt Bold" w:cs="Theinhardt Bold"/>
          <w:b/>
          <w:bCs/>
          <w:color w:val="231F20"/>
          <w:spacing w:val="10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gung beträgt 234%.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Damit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20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E-Autos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12’000 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-frei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fahren.</w:t>
      </w:r>
    </w:p>
    <w:p w14:paraId="38946E37" w14:textId="77777777" w:rsidR="003A73DB" w:rsidRDefault="003A73DB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3A73DB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50" w:space="129"/>
            <w:col w:w="8051"/>
          </w:cols>
        </w:sectPr>
      </w:pPr>
    </w:p>
    <w:p w14:paraId="3154F3BF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317C6F9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238F71A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E6C8693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4737EFB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DDB4B42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0E30848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0C17BD0" w14:textId="77777777" w:rsidR="003A73DB" w:rsidRDefault="003A73DB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59B7A33E" w14:textId="77777777" w:rsidR="003A73DB" w:rsidRDefault="009D39E8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234%-PEB-DEFH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5"/>
          <w:sz w:val="40"/>
        </w:rPr>
        <w:t>Laasner-von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4"/>
          <w:sz w:val="40"/>
        </w:rPr>
        <w:t>Wyl,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 xml:space="preserve">6056 </w:t>
      </w:r>
      <w:r>
        <w:rPr>
          <w:rFonts w:ascii="Theinhardt Black" w:hAnsi="Theinhardt Black"/>
          <w:b/>
          <w:color w:val="0067B1"/>
          <w:spacing w:val="3"/>
          <w:sz w:val="40"/>
        </w:rPr>
        <w:t>Kägiswil/OW</w:t>
      </w:r>
    </w:p>
    <w:p w14:paraId="74FE62B4" w14:textId="77777777" w:rsidR="003A73DB" w:rsidRDefault="003A73DB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5E1D83C8" w14:textId="77777777" w:rsidR="003A73DB" w:rsidRDefault="003A73DB">
      <w:pPr>
        <w:rPr>
          <w:rFonts w:ascii="Theinhardt Black" w:eastAsia="Theinhardt Black" w:hAnsi="Theinhardt Black" w:cs="Theinhardt Black"/>
        </w:rPr>
        <w:sectPr w:rsidR="003A73DB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2D557B2E" w14:textId="77777777" w:rsidR="003A73DB" w:rsidRDefault="009D39E8">
      <w:pPr>
        <w:pStyle w:val="Textkrper"/>
        <w:spacing w:line="230" w:lineRule="exact"/>
        <w:jc w:val="both"/>
      </w:pPr>
      <w:r>
        <w:rPr>
          <w:color w:val="231F20"/>
        </w:rPr>
        <w:t>Als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erster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PlusEnergieBau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Kantons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Obwalden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wurden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anfangs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verbundenen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Doppeleinfamilienhäuser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Kägiswil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bezogen.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altersgerechten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Wohnbauten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identisch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gebaut.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Etwas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bessere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U-Werte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würden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weiter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reduzieren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bzw.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Solarstromüber-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schuss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erhöhen.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PV-Anlagen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sym-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metrisch,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dachbündig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ganzflächig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sehr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integriert.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50.9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bringt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Doppeleinfamilienhäuser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 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PlusEnergieBau-Standard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27’700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Zwei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Ladestationen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bereits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installiert,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nebst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Tesla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zukünftig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weitere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Elek-</w:t>
      </w:r>
    </w:p>
    <w:p w14:paraId="4363604A" w14:textId="77777777" w:rsidR="003A73DB" w:rsidRDefault="009D39E8">
      <w:pPr>
        <w:pStyle w:val="Textkrper"/>
        <w:spacing w:before="19" w:line="226" w:lineRule="auto"/>
        <w:jc w:val="both"/>
      </w:pPr>
      <w:r>
        <w:rPr>
          <w:color w:val="231F20"/>
          <w:spacing w:val="-1"/>
        </w:rPr>
        <w:t>troautos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Strom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direkt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eigenen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Hausdächern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versorgen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können.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späteren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Speichereinbau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Platz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 xml:space="preserve">freigehalten. </w:t>
      </w:r>
      <w:r>
        <w:rPr>
          <w:color w:val="231F20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beiden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Doppeleinfamilienhäuser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(DEFH)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beträgt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20’800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kWh.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beiden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ganzflä-</w:t>
      </w:r>
    </w:p>
    <w:p w14:paraId="5671C2C9" w14:textId="77777777" w:rsidR="003A73DB" w:rsidRDefault="009D39E8">
      <w:pPr>
        <w:pStyle w:val="Textkrper"/>
        <w:spacing w:line="230" w:lineRule="exact"/>
        <w:jc w:val="both"/>
      </w:pPr>
      <w:r>
        <w:br w:type="column"/>
      </w:r>
      <w:r>
        <w:rPr>
          <w:color w:val="231F20"/>
        </w:rPr>
        <w:t>chig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integrierten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PV-Anlagen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können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dank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vier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Himmelsrichtungen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orientierten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PV-Modulen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gleichmässige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Stromver-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sorgung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während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ganzen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Tages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rantieren.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macht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die </w:t>
      </w:r>
      <w:r>
        <w:rPr>
          <w:color w:val="231F20"/>
          <w:spacing w:val="-1"/>
        </w:rPr>
        <w:t>DEFH</w:t>
      </w:r>
      <w:r>
        <w:rPr>
          <w:color w:val="231F20"/>
        </w:rPr>
        <w:t xml:space="preserve"> zu </w:t>
      </w:r>
      <w:r>
        <w:rPr>
          <w:color w:val="231F20"/>
          <w:spacing w:val="-1"/>
        </w:rPr>
        <w:t>234%-PlusEnergieBauten.</w:t>
      </w:r>
    </w:p>
    <w:p w14:paraId="654A72EE" w14:textId="77777777" w:rsidR="003A73DB" w:rsidRDefault="003A73DB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74281376" w14:textId="77777777" w:rsidR="003A73DB" w:rsidRDefault="003A73DB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07F9180" w14:textId="77777777" w:rsidR="003A73DB" w:rsidRDefault="003A73DB">
      <w:pPr>
        <w:spacing w:before="4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78FDAA3F" w14:textId="77777777" w:rsidR="003A73DB" w:rsidRDefault="009D39E8">
      <w:pPr>
        <w:spacing w:line="230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Achevées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début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2019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Kägiswil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(OW),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villas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jumelées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composent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qua-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appartements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consomment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20’800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intégrées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leurs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ori-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entées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quatre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points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cardinaux,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installations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chacune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total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48’500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premier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canton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d’Obwald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autopro-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234%.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27’700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vingt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parcourir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chacun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.</w:t>
      </w:r>
    </w:p>
    <w:p w14:paraId="36792F6B" w14:textId="77777777" w:rsidR="003A73DB" w:rsidRDefault="009D39E8">
      <w:pPr>
        <w:spacing w:before="67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621CF183" w14:textId="77777777" w:rsidR="003A73DB" w:rsidRDefault="003A73DB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B6A2009" w14:textId="77777777" w:rsidR="003A73DB" w:rsidRDefault="009D39E8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7B6AC248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15BACE6" w14:textId="77777777" w:rsidR="003A73DB" w:rsidRDefault="009D39E8">
      <w:pPr>
        <w:spacing w:before="20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</w:p>
    <w:p w14:paraId="3504ACCD" w14:textId="77777777" w:rsidR="003A73DB" w:rsidRDefault="003A73DB">
      <w:pPr>
        <w:spacing w:before="3"/>
        <w:rPr>
          <w:rFonts w:ascii="Theinhardt Bold" w:eastAsia="Theinhardt Bold" w:hAnsi="Theinhardt Bold" w:cs="Theinhardt Bold"/>
          <w:b/>
          <w:bCs/>
          <w:sz w:val="3"/>
          <w:szCs w:val="3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665"/>
        <w:gridCol w:w="731"/>
        <w:gridCol w:w="789"/>
        <w:gridCol w:w="1024"/>
      </w:tblGrid>
      <w:tr w:rsidR="003A73DB" w14:paraId="6DCA1E44" w14:textId="77777777">
        <w:trPr>
          <w:trHeight w:hRule="exact" w:val="111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F6605A0" w14:textId="77777777" w:rsidR="003A73DB" w:rsidRDefault="009D39E8">
            <w:pPr>
              <w:pStyle w:val="TableParagraph"/>
              <w:spacing w:line="11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7F27F3D" w14:textId="77777777" w:rsidR="003A73DB" w:rsidRDefault="009D39E8">
            <w:pPr>
              <w:pStyle w:val="TableParagraph"/>
              <w:spacing w:line="111" w:lineRule="exact"/>
              <w:ind w:left="22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35 cm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D081A85" w14:textId="77777777" w:rsidR="003A73DB" w:rsidRDefault="009D39E8">
            <w:pPr>
              <w:pStyle w:val="TableParagraph"/>
              <w:spacing w:line="111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EE29E6" w14:textId="77777777" w:rsidR="003A73DB" w:rsidRDefault="009D39E8">
            <w:pPr>
              <w:pStyle w:val="TableParagraph"/>
              <w:spacing w:line="111" w:lineRule="exact"/>
              <w:ind w:left="23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0.16</w:t>
            </w:r>
            <w:r>
              <w:rPr>
                <w:rFonts w:ascii="Theinhardt Regular"/>
                <w:spacing w:val="-11"/>
                <w:sz w:val="14"/>
              </w:rPr>
              <w:t xml:space="preserve"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3A73DB" w14:paraId="7CCEBE86" w14:textId="77777777">
        <w:trPr>
          <w:trHeight w:hRule="exact" w:val="1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DF7FC01" w14:textId="77777777" w:rsidR="003A73DB" w:rsidRDefault="009D39E8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D8BA262" w14:textId="77777777" w:rsidR="003A73DB" w:rsidRDefault="009D39E8">
            <w:pPr>
              <w:pStyle w:val="TableParagraph"/>
              <w:spacing w:line="160" w:lineRule="exact"/>
              <w:ind w:left="22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0E1525B" w14:textId="77777777" w:rsidR="003A73DB" w:rsidRDefault="009D39E8">
            <w:pPr>
              <w:pStyle w:val="TableParagraph"/>
              <w:spacing w:line="160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215536" w14:textId="77777777" w:rsidR="003A73DB" w:rsidRDefault="009D39E8">
            <w:pPr>
              <w:pStyle w:val="TableParagraph"/>
              <w:spacing w:line="160" w:lineRule="exact"/>
              <w:ind w:left="22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0.17</w:t>
            </w:r>
            <w:r>
              <w:rPr>
                <w:rFonts w:ascii="Theinhardt Regular"/>
                <w:sz w:val="14"/>
              </w:rPr>
              <w:t xml:space="preserve"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3A73DB" w14:paraId="51A73235" w14:textId="77777777">
        <w:trPr>
          <w:trHeight w:hRule="exact" w:val="1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2700694" w14:textId="77777777" w:rsidR="003A73DB" w:rsidRDefault="009D39E8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Boden: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EB924D2" w14:textId="77777777" w:rsidR="003A73DB" w:rsidRDefault="009D39E8">
            <w:pPr>
              <w:pStyle w:val="TableParagraph"/>
              <w:spacing w:line="160" w:lineRule="exact"/>
              <w:ind w:left="2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4</w:t>
            </w:r>
            <w:r>
              <w:rPr>
                <w:rFonts w:ascii="Theinhardt Regular"/>
                <w:sz w:val="14"/>
              </w:rPr>
              <w:t>5 cm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FC669F3" w14:textId="77777777" w:rsidR="003A73DB" w:rsidRDefault="009D39E8">
            <w:pPr>
              <w:pStyle w:val="TableParagraph"/>
              <w:spacing w:line="160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DB6B10" w14:textId="77777777" w:rsidR="003A73DB" w:rsidRDefault="009D39E8">
            <w:pPr>
              <w:pStyle w:val="TableParagraph"/>
              <w:spacing w:line="160" w:lineRule="exact"/>
              <w:ind w:left="21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 xml:space="preserve">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 w:rsidR="003A73DB" w14:paraId="3C5A3031" w14:textId="77777777">
        <w:trPr>
          <w:trHeight w:hRule="exact" w:val="19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63DFC97" w14:textId="77777777" w:rsidR="003A73DB" w:rsidRDefault="009D39E8">
            <w:pPr>
              <w:pStyle w:val="TableParagraph"/>
              <w:spacing w:line="166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Fenster: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30FDE75" w14:textId="77777777" w:rsidR="003A73DB" w:rsidRDefault="009D39E8">
            <w:pPr>
              <w:pStyle w:val="TableParagraph"/>
              <w:spacing w:line="166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dreifach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2D611C8" w14:textId="77777777" w:rsidR="003A73DB" w:rsidRDefault="009D39E8">
            <w:pPr>
              <w:pStyle w:val="TableParagraph"/>
              <w:spacing w:line="166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751959" w14:textId="77777777" w:rsidR="003A73DB" w:rsidRDefault="009D39E8">
            <w:pPr>
              <w:pStyle w:val="TableParagraph"/>
              <w:spacing w:line="166" w:lineRule="exact"/>
              <w:ind w:left="21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1.30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</w:tbl>
    <w:p w14:paraId="6AF79EDD" w14:textId="77777777" w:rsidR="003A73DB" w:rsidRDefault="009D39E8">
      <w:pPr>
        <w:spacing w:before="8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</w:p>
    <w:p w14:paraId="38968709" w14:textId="77777777" w:rsidR="003A73DB" w:rsidRDefault="009D39E8">
      <w:pPr>
        <w:tabs>
          <w:tab w:val="left" w:pos="1471"/>
          <w:tab w:val="left" w:pos="1752"/>
          <w:tab w:val="left" w:pos="2362"/>
          <w:tab w:val="left" w:pos="2402"/>
          <w:tab w:val="left" w:pos="2767"/>
          <w:tab w:val="left" w:pos="2813"/>
        </w:tabs>
        <w:spacing w:before="6" w:line="207" w:lineRule="auto"/>
        <w:ind w:left="110" w:right="36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EBF: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544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>19.0</w:t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50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10’347</w:t>
      </w:r>
    </w:p>
    <w:p w14:paraId="01C73CC4" w14:textId="77777777" w:rsidR="003A73DB" w:rsidRDefault="009D39E8">
      <w:pPr>
        <w:tabs>
          <w:tab w:val="left" w:pos="1764"/>
        </w:tabs>
        <w:spacing w:line="154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19.1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10’417</w:t>
      </w:r>
    </w:p>
    <w:p w14:paraId="5372CC2C" w14:textId="77777777" w:rsidR="003A73DB" w:rsidRDefault="009D39E8">
      <w:pPr>
        <w:tabs>
          <w:tab w:val="left" w:pos="1744"/>
        </w:tabs>
        <w:spacing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38.1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100    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20’764</w:t>
      </w:r>
    </w:p>
    <w:p w14:paraId="760F8AD3" w14:textId="77777777" w:rsidR="003A73DB" w:rsidRDefault="009D39E8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</w:p>
    <w:p w14:paraId="4D4DC580" w14:textId="77777777" w:rsidR="003A73DB" w:rsidRDefault="009D39E8">
      <w:pPr>
        <w:tabs>
          <w:tab w:val="left" w:pos="758"/>
          <w:tab w:val="left" w:pos="1663"/>
          <w:tab w:val="left" w:pos="2281"/>
          <w:tab w:val="left" w:pos="2402"/>
          <w:tab w:val="left" w:pos="2754"/>
          <w:tab w:val="left" w:pos="2813"/>
        </w:tabs>
        <w:spacing w:before="6" w:line="207" w:lineRule="auto"/>
        <w:ind w:left="110" w:right="36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Eigen-EV: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kWp  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PV: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463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50.9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104.9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234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48’569</w:t>
      </w:r>
    </w:p>
    <w:p w14:paraId="3B9E9B4A" w14:textId="77777777" w:rsidR="003A73DB" w:rsidRDefault="003A73DB">
      <w:pPr>
        <w:spacing w:before="12"/>
        <w:rPr>
          <w:rFonts w:ascii="Theinhardt Regular" w:eastAsia="Theinhardt Regular" w:hAnsi="Theinhardt Regular" w:cs="Theinhardt Regular"/>
          <w:sz w:val="6"/>
          <w:szCs w:val="6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1977"/>
        <w:gridCol w:w="605"/>
        <w:gridCol w:w="628"/>
      </w:tblGrid>
      <w:tr w:rsidR="003A73DB" w14:paraId="47375F52" w14:textId="77777777">
        <w:trPr>
          <w:trHeight w:hRule="exact" w:val="13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EB82CEA" w14:textId="77777777" w:rsidR="003A73DB" w:rsidRDefault="009D39E8">
            <w:pPr>
              <w:pStyle w:val="TableParagraph"/>
              <w:spacing w:line="13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 xml:space="preserve"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A9FEE58" w14:textId="77777777" w:rsidR="003A73DB" w:rsidRDefault="009D39E8">
            <w:pPr>
              <w:pStyle w:val="TableParagraph"/>
              <w:spacing w:line="130" w:lineRule="exact"/>
              <w:ind w:left="36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4875793" w14:textId="77777777" w:rsidR="003A73DB" w:rsidRDefault="009D39E8">
            <w:pPr>
              <w:pStyle w:val="TableParagraph"/>
              <w:spacing w:line="130" w:lineRule="exact"/>
              <w:ind w:left="17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3A73DB" w14:paraId="0FD8F2E3" w14:textId="77777777">
        <w:trPr>
          <w:trHeight w:hRule="exact" w:val="159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2509A1E" w14:textId="77777777" w:rsidR="003A73DB" w:rsidRDefault="009D39E8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93535C2" w14:textId="77777777" w:rsidR="003A73DB" w:rsidRDefault="009D39E8">
            <w:pPr>
              <w:pStyle w:val="TableParagraph"/>
              <w:spacing w:line="159" w:lineRule="exact"/>
              <w:ind w:left="24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2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3</w:t>
            </w:r>
            <w:r>
              <w:rPr>
                <w:rFonts w:ascii="Theinhardt Bold"/>
                <w:b/>
                <w:color w:val="231F20"/>
                <w:sz w:val="1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95C2A8B" w14:textId="77777777" w:rsidR="003A73DB" w:rsidRDefault="009D39E8">
            <w:pPr>
              <w:pStyle w:val="TableParagraph"/>
              <w:spacing w:line="159" w:lineRule="exact"/>
              <w:ind w:left="10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48’569</w:t>
            </w:r>
          </w:p>
        </w:tc>
      </w:tr>
      <w:tr w:rsidR="003A73DB" w14:paraId="003FB975" w14:textId="77777777">
        <w:trPr>
          <w:trHeight w:hRule="exact" w:val="159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0EAA085" w14:textId="77777777" w:rsidR="003A73DB" w:rsidRDefault="009D39E8">
            <w:pPr>
              <w:pStyle w:val="TableParagraph"/>
              <w:spacing w:line="15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1CCEAF" w14:textId="77777777" w:rsidR="003A73DB" w:rsidRDefault="009D39E8">
            <w:pPr>
              <w:pStyle w:val="TableParagraph"/>
              <w:spacing w:line="159" w:lineRule="exact"/>
              <w:ind w:left="25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031C42D" w14:textId="77777777" w:rsidR="003A73DB" w:rsidRDefault="009D39E8">
            <w:pPr>
              <w:pStyle w:val="TableParagraph"/>
              <w:spacing w:line="159" w:lineRule="exact"/>
              <w:ind w:left="11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20’764</w:t>
            </w:r>
          </w:p>
        </w:tc>
      </w:tr>
      <w:tr w:rsidR="003A73DB" w14:paraId="26A6E6CF" w14:textId="77777777">
        <w:trPr>
          <w:trHeight w:hRule="exact" w:val="187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7BA7F71" w14:textId="77777777" w:rsidR="003A73DB" w:rsidRDefault="009D39E8">
            <w:pPr>
              <w:pStyle w:val="TableParagraph"/>
              <w:spacing w:line="165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8B7E5E6" w14:textId="77777777" w:rsidR="003A73DB" w:rsidRDefault="009D39E8">
            <w:pPr>
              <w:pStyle w:val="TableParagraph"/>
              <w:spacing w:line="165" w:lineRule="exact"/>
              <w:ind w:left="25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01FB743D" w14:textId="77777777" w:rsidR="003A73DB" w:rsidRDefault="009D39E8">
            <w:pPr>
              <w:pStyle w:val="TableParagraph"/>
              <w:spacing w:line="165" w:lineRule="exact"/>
              <w:ind w:left="10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27’805</w:t>
            </w:r>
          </w:p>
        </w:tc>
      </w:tr>
    </w:tbl>
    <w:p w14:paraId="6BF151D7" w14:textId="77777777" w:rsidR="003A73DB" w:rsidRDefault="009D39E8">
      <w:pPr>
        <w:spacing w:before="17"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vom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Obwalden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25.02.2020, </w:t>
      </w:r>
      <w:r>
        <w:rPr>
          <w:rFonts w:ascii="Theinhardt Regular" w:hAnsi="Theinhardt Regular"/>
          <w:color w:val="231F20"/>
          <w:spacing w:val="1"/>
          <w:sz w:val="14"/>
        </w:rPr>
        <w:t>Céline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Rohner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41</w:t>
      </w:r>
      <w:r>
        <w:rPr>
          <w:rFonts w:ascii="Theinhardt Regular" w:hAnsi="Theinhardt Regular"/>
          <w:color w:val="231F20"/>
          <w:sz w:val="14"/>
        </w:rPr>
        <w:t xml:space="preserve"> 666 </w:t>
      </w:r>
      <w:r>
        <w:rPr>
          <w:rFonts w:ascii="Theinhardt Regular" w:hAnsi="Theinhardt Regular"/>
          <w:color w:val="231F20"/>
          <w:spacing w:val="-5"/>
          <w:sz w:val="14"/>
        </w:rPr>
        <w:t>51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</w:p>
    <w:p w14:paraId="23DD9041" w14:textId="77777777" w:rsidR="003A73DB" w:rsidRDefault="009D39E8">
      <w:pPr>
        <w:spacing w:before="56" w:line="160" w:lineRule="exact"/>
        <w:ind w:left="110" w:right="125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05F3DDDE" w14:textId="77777777" w:rsidR="003A73DB" w:rsidRDefault="009D39E8">
      <w:pPr>
        <w:spacing w:before="105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Personen</w:t>
      </w:r>
    </w:p>
    <w:p w14:paraId="77932F5D" w14:textId="77777777" w:rsidR="003A73DB" w:rsidRDefault="003A73DB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48CF8F2" w14:textId="77777777" w:rsidR="003A73DB" w:rsidRDefault="009D39E8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6F06E357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F3746FD" w14:textId="77777777" w:rsidR="003A73DB" w:rsidRDefault="009D39E8">
      <w:pPr>
        <w:spacing w:before="20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56AB210A" w14:textId="77777777" w:rsidR="003A73DB" w:rsidRDefault="009D39E8">
      <w:pPr>
        <w:spacing w:before="6" w:line="207" w:lineRule="auto"/>
        <w:ind w:left="110" w:right="90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 xml:space="preserve"> &amp; </w:t>
      </w:r>
      <w:r>
        <w:rPr>
          <w:rFonts w:ascii="Theinhardt Regular" w:hAnsi="Theinhardt Regular"/>
          <w:color w:val="231F20"/>
          <w:spacing w:val="1"/>
          <w:sz w:val="14"/>
        </w:rPr>
        <w:t>Katrin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Laasner-von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Wyl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Kreuzmatte</w:t>
      </w:r>
      <w:r>
        <w:rPr>
          <w:rFonts w:ascii="Theinhardt Regular" w:hAnsi="Theinhardt Regular"/>
          <w:color w:val="231F20"/>
          <w:sz w:val="14"/>
        </w:rPr>
        <w:t xml:space="preserve"> 2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3, </w:t>
      </w:r>
      <w:r>
        <w:rPr>
          <w:rFonts w:ascii="Theinhardt Regular" w:hAnsi="Theinhardt Regular"/>
          <w:color w:val="231F20"/>
          <w:spacing w:val="1"/>
          <w:sz w:val="14"/>
        </w:rPr>
        <w:t>6056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Kägiswil</w:t>
      </w:r>
    </w:p>
    <w:p w14:paraId="7E1F6142" w14:textId="77777777" w:rsidR="003A73DB" w:rsidRDefault="009D39E8">
      <w:pPr>
        <w:spacing w:before="38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Projektleitung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14E31F02" w14:textId="77777777" w:rsidR="003A73DB" w:rsidRDefault="009D39E8">
      <w:pPr>
        <w:spacing w:before="6" w:line="207" w:lineRule="auto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Planteams.ch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2"/>
          <w:sz w:val="14"/>
        </w:rPr>
        <w:t>Galileo-Strasse</w:t>
      </w:r>
      <w:r>
        <w:rPr>
          <w:rFonts w:ascii="Theinhardt Regular" w:hAnsi="Theinhardt Regular"/>
          <w:color w:val="231F20"/>
          <w:sz w:val="14"/>
        </w:rPr>
        <w:t xml:space="preserve"> 2, </w:t>
      </w:r>
      <w:r>
        <w:rPr>
          <w:rFonts w:ascii="Theinhardt Regular" w:hAnsi="Theinhardt Regular"/>
          <w:color w:val="231F20"/>
          <w:spacing w:val="1"/>
          <w:sz w:val="14"/>
        </w:rPr>
        <w:t>6056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Kägiswil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Architekt: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Michael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Limacher</w:t>
      </w:r>
    </w:p>
    <w:p w14:paraId="68295748" w14:textId="77777777" w:rsidR="003A73DB" w:rsidRDefault="009D39E8">
      <w:pPr>
        <w:spacing w:line="154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Projektleiter: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Dominik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Lussi</w:t>
      </w:r>
    </w:p>
    <w:p w14:paraId="150650E8" w14:textId="77777777" w:rsidR="003A73DB" w:rsidRDefault="009D39E8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661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</w:t>
      </w:r>
      <w:hyperlink r:id="rId6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info@planteams.ch</w:t>
        </w:r>
      </w:hyperlink>
    </w:p>
    <w:p w14:paraId="2E5A8F67" w14:textId="77777777" w:rsidR="003A73DB" w:rsidRDefault="009D39E8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</w:p>
    <w:p w14:paraId="633C21F5" w14:textId="77777777" w:rsidR="003A73DB" w:rsidRDefault="009D39E8">
      <w:pPr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Werth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2"/>
          <w:sz w:val="14"/>
        </w:rPr>
        <w:t>Kernserstrasse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11,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6056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Kägiswil</w:t>
      </w:r>
    </w:p>
    <w:p w14:paraId="14EF8F0B" w14:textId="77777777" w:rsidR="003A73DB" w:rsidRDefault="009D39E8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660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70</w:t>
      </w:r>
      <w:hyperlink r:id="rId7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info@werth-ag.ch</w:t>
        </w:r>
      </w:hyperlink>
    </w:p>
    <w:p w14:paraId="454F6712" w14:textId="77777777" w:rsidR="003A73DB" w:rsidRDefault="009D39E8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Energiedienstleister</w:t>
      </w:r>
    </w:p>
    <w:p w14:paraId="123201B9" w14:textId="77777777" w:rsidR="003A73DB" w:rsidRDefault="009D39E8">
      <w:pPr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1"/>
          <w:sz w:val="14"/>
        </w:rPr>
        <w:t>IMOVATEC</w:t>
      </w:r>
      <w:r>
        <w:rPr>
          <w:rFonts w:ascii="Theinhardt Regular" w:hAnsi="Theinhardt Regular"/>
          <w:color w:val="231F20"/>
          <w:sz w:val="14"/>
        </w:rPr>
        <w:t xml:space="preserve"> AG, Rothusstrasse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23,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6331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Hünenberg</w:t>
      </w:r>
    </w:p>
    <w:p w14:paraId="2378C411" w14:textId="77777777" w:rsidR="003A73DB" w:rsidRDefault="009D39E8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041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910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50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50,</w:t>
      </w:r>
      <w:r>
        <w:rPr>
          <w:rFonts w:ascii="Theinhardt Regular"/>
          <w:color w:val="231F20"/>
          <w:spacing w:val="-6"/>
          <w:sz w:val="14"/>
        </w:rPr>
        <w:t xml:space="preserve"> </w:t>
      </w:r>
      <w:hyperlink r:id="rId8">
        <w:r>
          <w:rPr>
            <w:rFonts w:ascii="Theinhardt Regular"/>
            <w:color w:val="231F20"/>
            <w:spacing w:val="-2"/>
            <w:sz w:val="14"/>
          </w:rPr>
          <w:t>info@imovatec.ch</w:t>
        </w:r>
      </w:hyperlink>
    </w:p>
    <w:p w14:paraId="6B0679F1" w14:textId="77777777" w:rsidR="003A73DB" w:rsidRDefault="003A73DB">
      <w:pPr>
        <w:spacing w:line="172" w:lineRule="exact"/>
        <w:jc w:val="both"/>
        <w:rPr>
          <w:rFonts w:ascii="Theinhardt Regular" w:eastAsia="Theinhardt Regular" w:hAnsi="Theinhardt Regular" w:cs="Theinhardt Regular"/>
          <w:sz w:val="14"/>
          <w:szCs w:val="14"/>
        </w:rPr>
        <w:sectPr w:rsidR="003A73DB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67" w:space="105"/>
            <w:col w:w="3456" w:space="116"/>
            <w:col w:w="3586"/>
          </w:cols>
        </w:sectPr>
      </w:pPr>
    </w:p>
    <w:p w14:paraId="72811479" w14:textId="77777777" w:rsidR="003A73DB" w:rsidRDefault="003A73DB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5CFB64F6" w14:textId="77777777" w:rsidR="003A73DB" w:rsidRDefault="009D39E8">
      <w:pPr>
        <w:spacing w:line="20" w:lineRule="atLeast"/>
        <w:ind w:left="7253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6F8BFBCE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35D06B6" w14:textId="77777777" w:rsidR="003A73DB" w:rsidRDefault="003A73DB">
      <w:pPr>
        <w:spacing w:before="7"/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2D749B0" w14:textId="77777777" w:rsidR="003A73DB" w:rsidRDefault="009D39E8">
      <w:pPr>
        <w:spacing w:line="200" w:lineRule="atLeast"/>
        <w:ind w:left="7253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6847F443" wp14:editId="2B7293DF">
            <wp:extent cx="2129184" cy="1371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2A90C" w14:textId="77777777" w:rsidR="003A73DB" w:rsidRDefault="009D39E8">
      <w:pPr>
        <w:tabs>
          <w:tab w:val="left" w:pos="7252"/>
        </w:tabs>
        <w:spacing w:before="7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659F8A35">
          <v:shape id="_x0000_s1026" type="#_x0000_t75" style="position:absolute;left:0;text-align:left;margin-left:42.5pt;margin-top:-205.15pt;width:345.85pt;height:205.5pt;z-index:-5896;mso-position-horizontal-relative:page">
            <v:imagedata r:id="rId10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7A8C0F77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13"/>
          <w:szCs w:val="13"/>
        </w:rPr>
      </w:pPr>
    </w:p>
    <w:p w14:paraId="6A3A4DD3" w14:textId="77777777" w:rsidR="003A73DB" w:rsidRDefault="003A73DB">
      <w:pPr>
        <w:rPr>
          <w:rFonts w:ascii="Theinhardt Bold" w:eastAsia="Theinhardt Bold" w:hAnsi="Theinhardt Bold" w:cs="Theinhardt Bold"/>
          <w:sz w:val="13"/>
          <w:szCs w:val="13"/>
        </w:rPr>
        <w:sectPr w:rsidR="003A73DB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59C892C2" w14:textId="77777777" w:rsidR="003A73DB" w:rsidRDefault="009D39E8">
      <w:pPr>
        <w:numPr>
          <w:ilvl w:val="0"/>
          <w:numId w:val="1"/>
        </w:numPr>
        <w:tabs>
          <w:tab w:val="left" w:pos="338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Je 25 kW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sind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PV-Anlagen auf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Dächern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DEFH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und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fast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50’000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Solarstrom.</w:t>
      </w:r>
    </w:p>
    <w:p w14:paraId="7EB30705" w14:textId="77777777" w:rsidR="003A73DB" w:rsidRDefault="009D39E8">
      <w:pPr>
        <w:numPr>
          <w:ilvl w:val="0"/>
          <w:numId w:val="1"/>
        </w:numPr>
        <w:tabs>
          <w:tab w:val="left" w:pos="338"/>
        </w:tabs>
        <w:spacing w:before="76" w:line="160" w:lineRule="exact"/>
        <w:ind w:right="378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z w:val="14"/>
        </w:rPr>
        <w:t xml:space="preserve">Die zwei </w:t>
      </w:r>
      <w:r>
        <w:rPr>
          <w:rFonts w:ascii="Theinhardt Bold" w:hAnsi="Theinhardt Bold"/>
          <w:b/>
          <w:color w:val="231F20"/>
          <w:spacing w:val="-1"/>
          <w:sz w:val="14"/>
        </w:rPr>
        <w:t>vorbildich</w:t>
      </w:r>
      <w:r>
        <w:rPr>
          <w:rFonts w:ascii="Theinhardt Bold" w:hAnsi="Theinhardt Bold"/>
          <w:b/>
          <w:color w:val="231F20"/>
          <w:sz w:val="14"/>
        </w:rPr>
        <w:t xml:space="preserve"> gedämmten </w:t>
      </w:r>
      <w:r>
        <w:rPr>
          <w:rFonts w:ascii="Theinhardt Bold" w:hAnsi="Theinhardt Bold"/>
          <w:b/>
          <w:color w:val="231F20"/>
          <w:spacing w:val="-1"/>
          <w:sz w:val="14"/>
        </w:rPr>
        <w:t>PEB-DEFH</w:t>
      </w:r>
      <w:r>
        <w:rPr>
          <w:rFonts w:ascii="Theinhardt Bold" w:hAnsi="Theinhardt Bold"/>
          <w:b/>
          <w:color w:val="231F20"/>
          <w:sz w:val="14"/>
        </w:rPr>
        <w:t xml:space="preserve"> sind</w:t>
      </w:r>
      <w:r>
        <w:rPr>
          <w:rFonts w:ascii="Theinhardt Bold" w:hAnsi="Theinhardt Bold"/>
          <w:b/>
          <w:color w:val="231F20"/>
          <w:spacing w:val="3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identisch</w:t>
      </w:r>
      <w:r>
        <w:rPr>
          <w:rFonts w:ascii="Theinhardt Bold" w:hAnsi="Theinhardt Bold"/>
          <w:b/>
          <w:color w:val="231F20"/>
          <w:sz w:val="14"/>
        </w:rPr>
        <w:t xml:space="preserve"> gebaut.</w:t>
      </w:r>
    </w:p>
    <w:p w14:paraId="35215642" w14:textId="77777777" w:rsidR="003A73DB" w:rsidRDefault="003A73DB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3A73DB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3182" w:space="390"/>
            <w:col w:w="7158"/>
          </w:cols>
        </w:sectPr>
      </w:pPr>
    </w:p>
    <w:p w14:paraId="5AF6FD2A" w14:textId="77777777" w:rsidR="003A73DB" w:rsidRDefault="003A73D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08C0301" w14:textId="77777777" w:rsidR="003A73DB" w:rsidRDefault="009D39E8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53</w:t>
      </w:r>
    </w:p>
    <w:sectPr w:rsidR="003A73DB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26B2"/>
    <w:multiLevelType w:val="hybridMultilevel"/>
    <w:tmpl w:val="8AD4763C"/>
    <w:lvl w:ilvl="0" w:tplc="79CAB178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F104A65C">
      <w:start w:val="1"/>
      <w:numFmt w:val="bullet"/>
      <w:lvlText w:val="•"/>
      <w:lvlJc w:val="left"/>
      <w:pPr>
        <w:ind w:left="621" w:hanging="227"/>
      </w:pPr>
      <w:rPr>
        <w:rFonts w:hint="default"/>
      </w:rPr>
    </w:lvl>
    <w:lvl w:ilvl="2" w:tplc="8DD0F5E2">
      <w:start w:val="1"/>
      <w:numFmt w:val="bullet"/>
      <w:lvlText w:val="•"/>
      <w:lvlJc w:val="left"/>
      <w:pPr>
        <w:ind w:left="906" w:hanging="227"/>
      </w:pPr>
      <w:rPr>
        <w:rFonts w:hint="default"/>
      </w:rPr>
    </w:lvl>
    <w:lvl w:ilvl="3" w:tplc="7C68338C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4" w:tplc="FD3A2C5A">
      <w:start w:val="1"/>
      <w:numFmt w:val="bullet"/>
      <w:lvlText w:val="•"/>
      <w:lvlJc w:val="left"/>
      <w:pPr>
        <w:ind w:left="1475" w:hanging="227"/>
      </w:pPr>
      <w:rPr>
        <w:rFonts w:hint="default"/>
      </w:rPr>
    </w:lvl>
    <w:lvl w:ilvl="5" w:tplc="E78A3456">
      <w:start w:val="1"/>
      <w:numFmt w:val="bullet"/>
      <w:lvlText w:val="•"/>
      <w:lvlJc w:val="left"/>
      <w:pPr>
        <w:ind w:left="1759" w:hanging="227"/>
      </w:pPr>
      <w:rPr>
        <w:rFonts w:hint="default"/>
      </w:rPr>
    </w:lvl>
    <w:lvl w:ilvl="6" w:tplc="4508C848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7" w:tplc="FE188C7A">
      <w:start w:val="1"/>
      <w:numFmt w:val="bullet"/>
      <w:lvlText w:val="•"/>
      <w:lvlJc w:val="left"/>
      <w:pPr>
        <w:ind w:left="2328" w:hanging="227"/>
      </w:pPr>
      <w:rPr>
        <w:rFonts w:hint="default"/>
      </w:rPr>
    </w:lvl>
    <w:lvl w:ilvl="8" w:tplc="B372D064">
      <w:start w:val="1"/>
      <w:numFmt w:val="bullet"/>
      <w:lvlText w:val="•"/>
      <w:lvlJc w:val="left"/>
      <w:pPr>
        <w:ind w:left="261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3DB"/>
    <w:rsid w:val="003A73DB"/>
    <w:rsid w:val="009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1238B422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ovatec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rth-a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nteams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3453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2020-10-07T11:12:00Z</dcterms:created>
  <dcterms:modified xsi:type="dcterms:W3CDTF">2020-10-07T09:13:00Z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