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4D46" w14:textId="77777777" w:rsidR="0068128F" w:rsidRDefault="00931247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5D5E138C">
          <v:group id="_x0000_s1055" style="position:absolute;left:0;text-align:left;margin-left:28.55pt;margin-top:13.65pt;width:.1pt;height:.1pt;z-index:-4264;mso-position-horizontal-relative:page" coordorigin="571,273" coordsize="2,2">
            <v:shape id="_x0000_s1056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7D20BD32">
          <v:group id="_x0000_s1053" style="position:absolute;left:0;text-align:left;margin-left:150.75pt;margin-top:13.65pt;width:.1pt;height:.1pt;z-index:1096;mso-position-horizontal-relative:page" coordorigin="3015,273" coordsize="2,2">
            <v:shape id="_x0000_s1054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6C07111C">
          <v:group id="_x0000_s1051" style="position:absolute;left:0;text-align:left;margin-left:28.55pt;margin-top:25.15pt;width:.1pt;height:.1pt;z-index:-4216;mso-position-horizontal-relative:page" coordorigin="571,503" coordsize="2,2">
            <v:shape id="_x0000_s1052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66285961">
          <v:group id="_x0000_s1049" style="position:absolute;left:0;text-align:left;margin-left:150.75pt;margin-top:25.15pt;width:.1pt;height:.1pt;z-index:1144;mso-position-horizontal-relative:page" coordorigin="3015,503" coordsize="2,2">
            <v:shape id="_x0000_s1050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pict w14:anchorId="34F9C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8.35pt;margin-top:53pt;width:82.2pt;height:60.2pt;z-index:1168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2020</w:t>
      </w:r>
    </w:p>
    <w:p w14:paraId="23F66759" w14:textId="77777777" w:rsidR="0068128F" w:rsidRDefault="00931247">
      <w:pPr>
        <w:spacing w:before="28" w:line="230" w:lineRule="exact"/>
        <w:ind w:left="106" w:right="108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Eventhaus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Fördervereins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Energietal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Toggenburg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schweizweit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eines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ersten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fahr-</w:t>
      </w:r>
      <w:r>
        <w:rPr>
          <w:rFonts w:ascii="Theinhardt Bold" w:eastAsia="Theinhardt Bold" w:hAnsi="Theinhardt Bold" w:cs="Theinhardt Bold"/>
          <w:b/>
          <w:bCs/>
          <w:color w:val="231F20"/>
          <w:spacing w:val="8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baren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Minergie-P-Baustandard.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Jahr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war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jeweils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während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Monat</w:t>
      </w:r>
      <w:r>
        <w:rPr>
          <w:rFonts w:ascii="Theinhardt Bold" w:eastAsia="Theinhardt Bold" w:hAnsi="Theinhardt Bold" w:cs="Theinhardt Bold"/>
          <w:b/>
          <w:bCs/>
          <w:color w:val="231F20"/>
          <w:spacing w:val="7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jeder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Toggenburger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Gemeinden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Medium" w:eastAsia="Theinhardt Medium" w:hAnsi="Theinhardt Medium" w:cs="Theinhardt Medium"/>
          <w:color w:val="231F20"/>
          <w:spacing w:val="-1"/>
          <w:sz w:val="18"/>
          <w:szCs w:val="18"/>
        </w:rPr>
        <w:t>«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Infomobil</w:t>
      </w:r>
      <w:r>
        <w:rPr>
          <w:rFonts w:ascii="Theinhardt Medium" w:eastAsia="Theinhardt Medium" w:hAnsi="Theinhardt Medium" w:cs="Theinhardt Medium"/>
          <w:color w:val="231F20"/>
          <w:spacing w:val="-1"/>
          <w:sz w:val="18"/>
          <w:szCs w:val="18"/>
        </w:rPr>
        <w:t>»</w:t>
      </w:r>
      <w:r>
        <w:rPr>
          <w:rFonts w:ascii="Theinhardt Medium" w:eastAsia="Theinhardt Medium" w:hAnsi="Theinhardt Medium" w:cs="Theinhardt Medium"/>
          <w:color w:val="231F20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Medium" w:eastAsia="Theinhardt Medium" w:hAnsi="Theinhardt Medium" w:cs="Theinhardt Medium"/>
          <w:color w:val="231F20"/>
          <w:sz w:val="18"/>
          <w:szCs w:val="18"/>
        </w:rPr>
        <w:t>«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2000-Watt-Gesellschaft</w:t>
      </w:r>
      <w:r>
        <w:rPr>
          <w:rFonts w:ascii="Theinhardt Medium" w:eastAsia="Theinhardt Medium" w:hAnsi="Theinhardt Medium" w:cs="Theinhardt Medium"/>
          <w:color w:val="231F20"/>
          <w:sz w:val="18"/>
          <w:szCs w:val="18"/>
        </w:rPr>
        <w:t>»</w:t>
      </w:r>
      <w:r>
        <w:rPr>
          <w:rFonts w:ascii="Theinhardt Medium" w:eastAsia="Theinhardt Medium" w:hAnsi="Theinhardt Medium" w:cs="Theinhardt Medium"/>
          <w:color w:val="231F20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sta-</w:t>
      </w:r>
      <w:r>
        <w:rPr>
          <w:rFonts w:ascii="Theinhardt Bold" w:eastAsia="Theinhardt Bold" w:hAnsi="Theinhardt Bold" w:cs="Theinhardt Bold"/>
          <w:b/>
          <w:bCs/>
          <w:color w:val="231F20"/>
          <w:spacing w:val="7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tioniert.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fahrbare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Minergie-P-Eventhaus zeigt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auf,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wie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die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Energieeffizienz,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die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Nutzung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er-</w:t>
      </w:r>
      <w:r>
        <w:rPr>
          <w:rFonts w:ascii="Theinhardt Bold" w:eastAsia="Theinhardt Bold" w:hAnsi="Theinhardt Bold" w:cs="Theinhardt Bold"/>
          <w:b/>
          <w:bCs/>
          <w:color w:val="231F20"/>
          <w:spacing w:val="10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neuerbarer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Energien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PlusEnergieBauweise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kleinstem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Raum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umsetzbar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ist.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4.6</w:t>
      </w:r>
      <w:r>
        <w:rPr>
          <w:rFonts w:ascii="Theinhardt Bold" w:eastAsia="Theinhardt Bold" w:hAnsi="Theinhardt Bold" w:cs="Theinhardt Bold"/>
          <w:b/>
          <w:bCs/>
          <w:color w:val="231F20"/>
          <w:spacing w:val="8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generiert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3’700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Strom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Jahr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an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Dach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Fassaden.</w:t>
      </w:r>
    </w:p>
    <w:p w14:paraId="3EE790E8" w14:textId="77777777" w:rsidR="0068128F" w:rsidRDefault="0068128F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68128F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54AEEA5F" w14:textId="77777777" w:rsidR="0068128F" w:rsidRDefault="006812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5623366" w14:textId="77777777" w:rsidR="0068128F" w:rsidRDefault="006812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35AB7AE" w14:textId="77777777" w:rsidR="0068128F" w:rsidRDefault="006812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A457011" w14:textId="77777777" w:rsidR="0068128F" w:rsidRDefault="006812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E461A62" w14:textId="77777777" w:rsidR="0068128F" w:rsidRDefault="006812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26EF18C" w14:textId="77777777" w:rsidR="0068128F" w:rsidRDefault="006812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53580CC" w14:textId="77777777" w:rsidR="0068128F" w:rsidRDefault="0068128F">
      <w:pPr>
        <w:spacing w:before="4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109ACC2F" w14:textId="77777777" w:rsidR="0068128F" w:rsidRDefault="00931247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236%</w:t>
      </w:r>
      <w:r>
        <w:rPr>
          <w:rFonts w:ascii="Theinhardt Black"/>
          <w:b/>
          <w:color w:val="0067B1"/>
          <w:spacing w:val="-1"/>
          <w:sz w:val="40"/>
        </w:rPr>
        <w:t>-</w:t>
      </w:r>
      <w:r>
        <w:rPr>
          <w:rFonts w:ascii="Theinhardt Black"/>
          <w:b/>
          <w:color w:val="0067B1"/>
          <w:spacing w:val="-8"/>
          <w:sz w:val="40"/>
        </w:rPr>
        <w:t>P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B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4"/>
          <w:sz w:val="40"/>
        </w:rPr>
        <w:t>Ev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3"/>
          <w:sz w:val="40"/>
        </w:rPr>
        <w:t>n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1"/>
          <w:sz w:val="40"/>
        </w:rPr>
        <w:t>h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3"/>
          <w:sz w:val="40"/>
        </w:rPr>
        <w:t>u</w:t>
      </w:r>
      <w:r>
        <w:rPr>
          <w:rFonts w:ascii="Theinhardt Black"/>
          <w:b/>
          <w:color w:val="0067B1"/>
          <w:sz w:val="40"/>
        </w:rPr>
        <w:t>s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0"/>
          <w:sz w:val="40"/>
        </w:rPr>
        <w:t>T</w:t>
      </w:r>
      <w:r>
        <w:rPr>
          <w:rFonts w:ascii="Theinhardt Black"/>
          <w:b/>
          <w:color w:val="0067B1"/>
          <w:spacing w:val="2"/>
          <w:sz w:val="40"/>
        </w:rPr>
        <w:t>o</w:t>
      </w:r>
      <w:r>
        <w:rPr>
          <w:rFonts w:ascii="Theinhardt Black"/>
          <w:b/>
          <w:color w:val="0067B1"/>
          <w:spacing w:val="-2"/>
          <w:sz w:val="40"/>
        </w:rPr>
        <w:t>gge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bu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4"/>
          <w:sz w:val="40"/>
        </w:rPr>
        <w:t>g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3"/>
          <w:sz w:val="40"/>
        </w:rPr>
        <w:t xml:space="preserve"> </w:t>
      </w:r>
      <w:r>
        <w:rPr>
          <w:rFonts w:ascii="Theinhardt Black"/>
          <w:b/>
          <w:color w:val="0067B1"/>
          <w:spacing w:val="-4"/>
          <w:sz w:val="40"/>
        </w:rPr>
        <w:t>963</w:t>
      </w:r>
      <w:r>
        <w:rPr>
          <w:rFonts w:ascii="Theinhardt Black"/>
          <w:b/>
          <w:color w:val="0067B1"/>
          <w:sz w:val="40"/>
        </w:rPr>
        <w:t>0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2"/>
          <w:sz w:val="40"/>
        </w:rPr>
        <w:t>W</w:t>
      </w:r>
      <w:r>
        <w:rPr>
          <w:rFonts w:ascii="Theinhardt Black"/>
          <w:b/>
          <w:color w:val="0067B1"/>
          <w:spacing w:val="5"/>
          <w:sz w:val="40"/>
        </w:rPr>
        <w:t>a</w:t>
      </w:r>
      <w:r>
        <w:rPr>
          <w:rFonts w:ascii="Theinhardt Black"/>
          <w:b/>
          <w:color w:val="0067B1"/>
          <w:spacing w:val="16"/>
          <w:sz w:val="40"/>
        </w:rPr>
        <w:t>t</w:t>
      </w:r>
      <w:r>
        <w:rPr>
          <w:rFonts w:ascii="Theinhardt Black"/>
          <w:b/>
          <w:color w:val="0067B1"/>
          <w:spacing w:val="8"/>
          <w:sz w:val="40"/>
        </w:rPr>
        <w:t>t</w:t>
      </w:r>
      <w:r>
        <w:rPr>
          <w:rFonts w:ascii="Theinhardt Black"/>
          <w:b/>
          <w:color w:val="0067B1"/>
          <w:sz w:val="40"/>
        </w:rPr>
        <w:t>wi</w:t>
      </w:r>
      <w:r>
        <w:rPr>
          <w:rFonts w:ascii="Theinhardt Black"/>
          <w:b/>
          <w:color w:val="0067B1"/>
          <w:spacing w:val="7"/>
          <w:sz w:val="40"/>
        </w:rPr>
        <w:t>l</w:t>
      </w:r>
      <w:r>
        <w:rPr>
          <w:rFonts w:ascii="Theinhardt Black"/>
          <w:b/>
          <w:color w:val="0067B1"/>
          <w:spacing w:val="-8"/>
          <w:sz w:val="40"/>
        </w:rPr>
        <w:t>/</w:t>
      </w:r>
      <w:r>
        <w:rPr>
          <w:rFonts w:ascii="Theinhardt Black"/>
          <w:b/>
          <w:color w:val="0067B1"/>
          <w:spacing w:val="-3"/>
          <w:sz w:val="40"/>
        </w:rPr>
        <w:t>S</w:t>
      </w:r>
      <w:r>
        <w:rPr>
          <w:rFonts w:ascii="Theinhardt Black"/>
          <w:b/>
          <w:color w:val="0067B1"/>
          <w:sz w:val="40"/>
        </w:rPr>
        <w:t>G</w:t>
      </w:r>
    </w:p>
    <w:p w14:paraId="1D97D1C9" w14:textId="77777777" w:rsidR="0068128F" w:rsidRDefault="0068128F">
      <w:pPr>
        <w:spacing w:before="1"/>
        <w:rPr>
          <w:rFonts w:ascii="Theinhardt Black" w:eastAsia="Theinhardt Black" w:hAnsi="Theinhardt Black" w:cs="Theinhardt Black"/>
          <w:b/>
          <w:bCs/>
        </w:rPr>
      </w:pPr>
    </w:p>
    <w:p w14:paraId="6457D406" w14:textId="77777777" w:rsidR="0068128F" w:rsidRDefault="0068128F">
      <w:pPr>
        <w:rPr>
          <w:rFonts w:ascii="Theinhardt Black" w:eastAsia="Theinhardt Black" w:hAnsi="Theinhardt Black" w:cs="Theinhardt Black"/>
        </w:rPr>
        <w:sectPr w:rsidR="0068128F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86DD960" w14:textId="77777777" w:rsidR="0068128F" w:rsidRDefault="00931247">
      <w:pPr>
        <w:pStyle w:val="Textkrper"/>
        <w:spacing w:before="89" w:line="232" w:lineRule="auto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4.6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Fassaden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Eventhauses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Fördervereins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Energietal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Toggenburg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er-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zeugt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rund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3’700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Strom.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Vergleich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zum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Energiebedarf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1’600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Jahr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erzeugt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informative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Event-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mehr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doppelt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Strom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benötigt.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PlusEnergieBau-Stan-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dard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Rädern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wechselte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Jahr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monatlich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seinen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Standort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besuchte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Gemeinden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St.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Gallischen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Tog-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genburg.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Energiebezugsfläche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 xml:space="preserve">2 </w:t>
      </w:r>
      <w:r>
        <w:rPr>
          <w:color w:val="231F20"/>
          <w:spacing w:val="-1"/>
        </w:rPr>
        <w:t>veranschaulicht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durchschnittlich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be-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wohnte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Fläche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Schweiz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Jahr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1960.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Heute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etwa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doppelte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Fläche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benötigt.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(Minergie-P/PEB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kann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doppelten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Fläche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erheblich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mehr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als</w:t>
      </w:r>
    </w:p>
    <w:p w14:paraId="493900A1" w14:textId="77777777" w:rsidR="0068128F" w:rsidRDefault="00931247">
      <w:pPr>
        <w:pStyle w:val="Textkrper"/>
        <w:spacing w:before="74" w:line="230" w:lineRule="exact"/>
        <w:jc w:val="both"/>
      </w:pPr>
      <w:r>
        <w:br w:type="column"/>
      </w:r>
      <w:r>
        <w:rPr>
          <w:color w:val="231F20"/>
        </w:rPr>
        <w:t>funktion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mobilen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solaren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Architektur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Energiebildung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aller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Bevölkerungs-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schichten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Toggenburgs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Kirchberg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Wildhaus.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Förderverein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Energietal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Toggenburg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gewann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den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Solarpreis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und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setzt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sich</w:t>
      </w:r>
    </w:p>
    <w:p w14:paraId="2ADA08A4" w14:textId="77777777" w:rsidR="0068128F" w:rsidRDefault="00931247">
      <w:pPr>
        <w:pStyle w:val="Textkrper"/>
        <w:spacing w:line="230" w:lineRule="exact"/>
        <w:jc w:val="both"/>
      </w:pPr>
      <w:r>
        <w:rPr>
          <w:color w:val="231F20"/>
        </w:rPr>
        <w:t>weiterhin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effiziente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-freie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Energieerzeugung</w:t>
      </w:r>
      <w:r>
        <w:rPr>
          <w:color w:val="231F20"/>
        </w:rPr>
        <w:t xml:space="preserve"> in der Region ein.</w:t>
      </w:r>
    </w:p>
    <w:p w14:paraId="098A417D" w14:textId="77777777" w:rsidR="0068128F" w:rsidRDefault="0068128F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7FF1DF2" w14:textId="77777777" w:rsidR="0068128F" w:rsidRDefault="0068128F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12C95F8" w14:textId="77777777" w:rsidR="0068128F" w:rsidRDefault="0068128F">
      <w:pPr>
        <w:spacing w:before="4"/>
        <w:rPr>
          <w:rFonts w:ascii="Theinhardt Regular" w:eastAsia="Theinhardt Regular" w:hAnsi="Theinhardt Regular" w:cs="Theinhardt Regular"/>
          <w:sz w:val="16"/>
          <w:szCs w:val="16"/>
        </w:rPr>
      </w:pPr>
    </w:p>
    <w:p w14:paraId="168228C2" w14:textId="77777777" w:rsidR="0068128F" w:rsidRDefault="00931247">
      <w:pPr>
        <w:spacing w:line="230" w:lineRule="exact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L’Eventhaus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l’association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Energietal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Tog-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genburg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est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premières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réalisations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labelli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>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n 2019,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communautés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Toggenburg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l’ont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accueillie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pendant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mois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cadre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l’initiative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«Vivre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société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Watts».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</w:p>
    <w:p w14:paraId="1A624FE7" w14:textId="77777777" w:rsidR="0068128F" w:rsidRDefault="00931247">
      <w:pPr>
        <w:spacing w:before="67"/>
        <w:ind w:left="107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48A017F3" w14:textId="77777777" w:rsidR="0068128F" w:rsidRDefault="0068128F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40C3A69C" w14:textId="77777777" w:rsidR="0068128F" w:rsidRDefault="00931247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62077225">
          <v:group id="_x0000_s1041" style="width:167.25pt;height:.45pt;mso-position-horizontal-relative:char;mso-position-vertical-relative:line" coordsize="3345,9">
            <v:group id="_x0000_s1046" style="position:absolute;left:21;top:4;width:3311;height:2" coordorigin="21,4" coordsize="3311,2">
              <v:shape id="_x0000_s1047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4" style="position:absolute;left:4;top:4;width:2;height:2" coordorigin="4,4" coordsize="2,2">
              <v:shape id="_x0000_s1045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2" style="position:absolute;left:3341;top:4;width:2;height:2" coordorigin="3341,4" coordsize="2,2">
              <v:shape id="_x0000_s1043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CDB86A4" w14:textId="77777777" w:rsidR="0068128F" w:rsidRDefault="00931247">
      <w:pPr>
        <w:spacing w:before="20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7CC8FE7E" w14:textId="77777777" w:rsidR="0068128F" w:rsidRDefault="00931247">
      <w:pPr>
        <w:tabs>
          <w:tab w:val="left" w:pos="1200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4"/>
          <w:sz w:val="14"/>
        </w:rPr>
        <w:t>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 xml:space="preserve">    </w:t>
      </w:r>
      <w:r>
        <w:rPr>
          <w:rFonts w:ascii="Theinhardt Regular"/>
          <w:color w:val="231F20"/>
          <w:spacing w:val="1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 xml:space="preserve">         </w:t>
      </w:r>
      <w:r>
        <w:rPr>
          <w:rFonts w:ascii="Theinhardt Regular"/>
          <w:color w:val="231F20"/>
          <w:spacing w:val="2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0.09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45D81B76" w14:textId="77777777" w:rsidR="0068128F" w:rsidRDefault="00931247">
      <w:pPr>
        <w:tabs>
          <w:tab w:val="left" w:pos="1195"/>
          <w:tab w:val="left" w:pos="2666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 xml:space="preserve">    </w:t>
      </w:r>
      <w:r>
        <w:rPr>
          <w:rFonts w:ascii="Theinhardt Regular"/>
          <w:color w:val="231F20"/>
          <w:spacing w:val="1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EA26918" w14:textId="77777777" w:rsidR="0068128F" w:rsidRDefault="00931247">
      <w:pPr>
        <w:tabs>
          <w:tab w:val="left" w:pos="1075"/>
          <w:tab w:val="left" w:pos="1788"/>
          <w:tab w:val="left" w:pos="2641"/>
        </w:tabs>
        <w:spacing w:before="5" w:line="207" w:lineRule="auto"/>
        <w:ind w:left="107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  <w:t>dreifach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0.83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7A66E6D" w14:textId="77777777" w:rsidR="0068128F" w:rsidRDefault="00931247">
      <w:pPr>
        <w:spacing w:before="38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</w:p>
    <w:p w14:paraId="16E701A0" w14:textId="77777777" w:rsidR="0068128F" w:rsidRDefault="00931247">
      <w:pPr>
        <w:tabs>
          <w:tab w:val="left" w:pos="1694"/>
        </w:tabs>
        <w:spacing w:line="160" w:lineRule="exact"/>
        <w:ind w:left="10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 xml:space="preserve">a      </w:t>
      </w:r>
      <w:r>
        <w:rPr>
          <w:rFonts w:ascii="Theinhardt Regular"/>
          <w:color w:val="231F20"/>
          <w:spacing w:val="5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%       </w:t>
      </w:r>
      <w:r>
        <w:rPr>
          <w:rFonts w:ascii="Theinhardt Regular"/>
          <w:color w:val="231F20"/>
          <w:spacing w:val="32"/>
          <w:sz w:val="14"/>
        </w:rPr>
        <w:t xml:space="preserve"> </w:t>
      </w:r>
      <w:r>
        <w:rPr>
          <w:rFonts w:ascii="Theinhardt Regular"/>
          <w:color w:val="231F20"/>
          <w:sz w:val="14"/>
        </w:rPr>
        <w:t>kWh/a</w:t>
      </w:r>
    </w:p>
    <w:p w14:paraId="3736092E" w14:textId="77777777" w:rsidR="0068128F" w:rsidRDefault="00931247">
      <w:pPr>
        <w:tabs>
          <w:tab w:val="left" w:pos="1964"/>
        </w:tabs>
        <w:spacing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60.5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  </w:t>
      </w:r>
      <w:r>
        <w:rPr>
          <w:rFonts w:ascii="Theinhardt Regular" w:eastAsia="Theinhardt Regular" w:hAnsi="Theinhardt Regular" w:cs="Theinhardt Regular"/>
          <w:color w:val="231F20"/>
          <w:spacing w:val="1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1’634</w:t>
      </w:r>
    </w:p>
    <w:p w14:paraId="2F0AEA13" w14:textId="77777777" w:rsidR="0068128F" w:rsidRDefault="00931247">
      <w:pPr>
        <w:spacing w:before="32"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50C2B5DD" w14:textId="77777777" w:rsidR="0068128F" w:rsidRDefault="00931247">
      <w:pPr>
        <w:tabs>
          <w:tab w:val="left" w:pos="966"/>
          <w:tab w:val="left" w:pos="1904"/>
          <w:tab w:val="left" w:pos="2530"/>
          <w:tab w:val="left" w:pos="2983"/>
          <w:tab w:val="left" w:pos="3013"/>
        </w:tabs>
        <w:spacing w:before="6" w:line="207" w:lineRule="auto"/>
        <w:ind w:left="107" w:right="16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2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27.9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3.36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102.7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175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2’866</w:t>
      </w:r>
    </w:p>
    <w:p w14:paraId="58C7CCC1" w14:textId="77777777" w:rsidR="0068128F" w:rsidRDefault="00931247">
      <w:pPr>
        <w:tabs>
          <w:tab w:val="left" w:pos="2012"/>
          <w:tab w:val="right" w:pos="3395"/>
        </w:tabs>
        <w:spacing w:line="154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PV-Fassade:</w:t>
      </w:r>
      <w:r>
        <w:rPr>
          <w:rFonts w:ascii="Theinhardt Regular"/>
          <w:color w:val="231F20"/>
          <w:spacing w:val="5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3.3     </w:t>
      </w:r>
      <w:r>
        <w:rPr>
          <w:rFonts w:ascii="Theinhardt Regular"/>
          <w:color w:val="231F20"/>
          <w:spacing w:val="29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1.2</w:t>
      </w:r>
      <w:r>
        <w:rPr>
          <w:rFonts w:ascii="Theinhardt Regular"/>
          <w:color w:val="231F20"/>
          <w:spacing w:val="-2"/>
          <w:sz w:val="14"/>
        </w:rPr>
        <w:tab/>
      </w:r>
      <w:r>
        <w:rPr>
          <w:rFonts w:ascii="Theinhardt Regular"/>
          <w:color w:val="231F20"/>
          <w:sz w:val="14"/>
        </w:rPr>
        <w:t xml:space="preserve">254     </w:t>
      </w:r>
      <w:r>
        <w:rPr>
          <w:rFonts w:ascii="Theinhardt Regular"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52</w:t>
      </w:r>
      <w:r>
        <w:rPr>
          <w:rFonts w:ascii="Theinhardt Bold"/>
          <w:b/>
          <w:color w:val="231F20"/>
          <w:spacing w:val="-2"/>
          <w:sz w:val="14"/>
        </w:rPr>
        <w:tab/>
      </w:r>
      <w:r>
        <w:rPr>
          <w:rFonts w:ascii="Theinhardt Bold"/>
          <w:b/>
          <w:color w:val="231F20"/>
          <w:sz w:val="14"/>
        </w:rPr>
        <w:t>837</w:t>
      </w:r>
    </w:p>
    <w:p w14:paraId="0406F06B" w14:textId="77777777" w:rsidR="0068128F" w:rsidRDefault="00931247">
      <w:pPr>
        <w:tabs>
          <w:tab w:val="left" w:pos="923"/>
          <w:tab w:val="left" w:pos="2105"/>
          <w:tab w:val="right" w:pos="3395"/>
        </w:tabs>
        <w:spacing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SK: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>8.9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17</w:t>
      </w:r>
      <w:r>
        <w:rPr>
          <w:rFonts w:ascii="Theinhardt Regular"/>
          <w:color w:val="231F20"/>
          <w:sz w:val="14"/>
        </w:rPr>
        <w:t xml:space="preserve">       </w:t>
      </w:r>
      <w:r>
        <w:rPr>
          <w:rFonts w:ascii="Theinhardt Regular"/>
          <w:color w:val="231F20"/>
          <w:spacing w:val="11"/>
          <w:sz w:val="14"/>
        </w:rPr>
        <w:t xml:space="preserve"> </w:t>
      </w:r>
      <w:r>
        <w:rPr>
          <w:rFonts w:ascii="Theinhardt Regular"/>
          <w:color w:val="231F20"/>
          <w:sz w:val="14"/>
        </w:rPr>
        <w:t>9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spacing w:val="-2"/>
          <w:sz w:val="14"/>
        </w:rPr>
        <w:t>152</w:t>
      </w:r>
    </w:p>
    <w:p w14:paraId="1941E65B" w14:textId="77777777" w:rsidR="0068128F" w:rsidRDefault="00931247">
      <w:pPr>
        <w:tabs>
          <w:tab w:val="left" w:pos="2529"/>
        </w:tabs>
        <w:spacing w:before="32"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(Endenergie)</w:t>
      </w:r>
      <w:r>
        <w:rPr>
          <w:rFonts w:ascii="Theinhardt Bold"/>
          <w:b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%       </w:t>
      </w:r>
      <w:r>
        <w:rPr>
          <w:rFonts w:ascii="Theinhardt Regular"/>
          <w:color w:val="231F20"/>
          <w:spacing w:val="31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kWh/a</w:t>
      </w:r>
    </w:p>
    <w:p w14:paraId="102EEE5A" w14:textId="77777777" w:rsidR="0068128F" w:rsidRDefault="00931247">
      <w:pPr>
        <w:tabs>
          <w:tab w:val="left" w:pos="2406"/>
        </w:tabs>
        <w:spacing w:line="160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236   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3’855</w:t>
      </w:r>
    </w:p>
    <w:p w14:paraId="737ABC7F" w14:textId="77777777" w:rsidR="0068128F" w:rsidRDefault="00931247">
      <w:pPr>
        <w:tabs>
          <w:tab w:val="left" w:pos="2410"/>
        </w:tabs>
        <w:spacing w:line="160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Gesamtenergiebedarf: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  </w:t>
      </w:r>
      <w:r>
        <w:rPr>
          <w:rFonts w:ascii="Theinhardt Regular" w:eastAsia="Theinhardt Regular" w:hAnsi="Theinhardt Regular" w:cs="Theinhardt Regular"/>
          <w:color w:val="231F20"/>
          <w:spacing w:val="1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1’634</w:t>
      </w:r>
    </w:p>
    <w:p w14:paraId="469E511E" w14:textId="77777777" w:rsidR="0068128F" w:rsidRDefault="00931247">
      <w:pPr>
        <w:tabs>
          <w:tab w:val="left" w:pos="2412"/>
        </w:tabs>
        <w:spacing w:line="172" w:lineRule="exact"/>
        <w:ind w:left="10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Solarstromüberschuss: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136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2’221</w:t>
      </w:r>
    </w:p>
    <w:p w14:paraId="429AC4D7" w14:textId="77777777" w:rsidR="0068128F" w:rsidRDefault="00931247">
      <w:pPr>
        <w:spacing w:before="39" w:line="160" w:lineRule="exact"/>
        <w:ind w:left="107" w:right="108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Solarertrag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war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über-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durchschnittlich.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 xml:space="preserve"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 xml:space="preserve"> 44)</w:t>
      </w:r>
    </w:p>
    <w:p w14:paraId="467E36E2" w14:textId="77777777" w:rsidR="0068128F" w:rsidRDefault="00931247">
      <w:pPr>
        <w:spacing w:before="105" w:line="152" w:lineRule="exact"/>
        <w:ind w:left="107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pict w14:anchorId="52B2CED4">
          <v:group id="_x0000_s1034" style="position:absolute;left:0;text-align:left;margin-left:385.5pt;margin-top:16.3pt;width:167.25pt;height:.45pt;z-index:-4120;mso-position-horizontal-relative:page" coordorigin="7710,326" coordsize="3345,9">
            <v:group id="_x0000_s1039" style="position:absolute;left:7732;top:330;width:3311;height:2" coordorigin="7732,330" coordsize="3311,2">
              <v:shape id="_x0000_s1040" style="position:absolute;left:7732;top:330;width:3311;height:2" coordorigin="7732,330" coordsize="3311,0" path="m7732,330r3310,e" filled="f" strokecolor="#231f20" strokeweight=".14994mm">
                <v:stroke dashstyle="dash"/>
                <v:path arrowok="t"/>
              </v:shape>
            </v:group>
            <v:group id="_x0000_s1037" style="position:absolute;left:7714;top:330;width:2;height:2" coordorigin="7714,330" coordsize="2,2">
              <v:shape id="_x0000_s1038" style="position:absolute;left:7714;top:330;width:2;height:2" coordorigin="7714,330" coordsize="0,0" path="m7714,330r,e" filled="f" strokecolor="#231f20" strokeweight=".14994mm">
                <v:path arrowok="t"/>
              </v:shape>
            </v:group>
            <v:group id="_x0000_s1035" style="position:absolute;left:11051;top:330;width:2;height:2" coordorigin="11051,330" coordsize="2,2">
              <v:shape id="_x0000_s1036" style="position:absolute;left:11051;top:330;width:2;height:2" coordorigin="11051,330" coordsize="0,0" path="m11051,330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730C6094" w14:textId="77777777" w:rsidR="0068128F" w:rsidRDefault="0068128F">
      <w:pPr>
        <w:spacing w:line="152" w:lineRule="exact"/>
        <w:jc w:val="both"/>
        <w:rPr>
          <w:rFonts w:ascii="Theinhardt Black" w:eastAsia="Theinhardt Black" w:hAnsi="Theinhardt Black" w:cs="Theinhardt Black"/>
          <w:sz w:val="14"/>
          <w:szCs w:val="14"/>
        </w:rPr>
        <w:sectPr w:rsidR="0068128F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3" w:space="119"/>
            <w:col w:w="3453" w:space="119"/>
            <w:col w:w="3566"/>
          </w:cols>
        </w:sectPr>
      </w:pPr>
    </w:p>
    <w:p w14:paraId="3CE1FDDC" w14:textId="77777777" w:rsidR="0068128F" w:rsidRDefault="00931247">
      <w:pPr>
        <w:pStyle w:val="Textkrper"/>
        <w:spacing w:line="154" w:lineRule="exact"/>
      </w:pPr>
      <w:r>
        <w:rPr>
          <w:color w:val="231F20"/>
        </w:rPr>
        <w:t xml:space="preserve">den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doppelten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Energiebedarf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erzeugen.)</w:t>
      </w:r>
    </w:p>
    <w:p w14:paraId="44D4B092" w14:textId="77777777" w:rsidR="0068128F" w:rsidRDefault="00931247">
      <w:pPr>
        <w:tabs>
          <w:tab w:val="left" w:pos="3699"/>
          <w:tab w:val="left" w:pos="7010"/>
        </w:tabs>
        <w:spacing w:line="154" w:lineRule="exact"/>
        <w:ind w:left="106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bord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l’Infomobile,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peut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renseigner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ab/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ab/>
      </w:r>
    </w:p>
    <w:p w14:paraId="2E86AE1A" w14:textId="77777777" w:rsidR="0068128F" w:rsidRDefault="0068128F">
      <w:pPr>
        <w:spacing w:line="154" w:lineRule="exact"/>
        <w:rPr>
          <w:rFonts w:ascii="Theinhardt Regular Italic" w:eastAsia="Theinhardt Regular Italic" w:hAnsi="Theinhardt Regular Italic" w:cs="Theinhardt Regular Italic"/>
          <w:sz w:val="18"/>
          <w:szCs w:val="18"/>
        </w:rPr>
        <w:sectPr w:rsidR="0068128F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2" w:space="119"/>
            <w:col w:w="7139"/>
          </w:cols>
        </w:sectPr>
      </w:pPr>
    </w:p>
    <w:p w14:paraId="7FD1E5D8" w14:textId="77777777" w:rsidR="0068128F" w:rsidRDefault="00931247">
      <w:pPr>
        <w:pStyle w:val="Textkrper"/>
        <w:spacing w:before="28" w:line="230" w:lineRule="exact"/>
        <w:jc w:val="both"/>
      </w:pPr>
      <w:r>
        <w:pict w14:anchorId="30B58F9B">
          <v:shape id="_x0000_s1033" type="#_x0000_t75" style="position:absolute;left:0;text-align:left;margin-left:28.35pt;margin-top:102.4pt;width:345.85pt;height:171.15pt;z-index:1192;mso-position-horizontal-relative:page">
            <v:imagedata r:id="rId6" o:title=""/>
            <w10:wrap anchorx="page"/>
          </v:shape>
        </w:pict>
      </w:r>
      <w:r>
        <w:rPr>
          <w:color w:val="231F20"/>
        </w:rPr>
        <w:t>Zum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Effizienz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demonstriert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fahr-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bare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Minergie-P-Eventhaus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Energieeffi-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zienz,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Nutzung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erneuerbarer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Energien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Plusenergiebauweise.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fanden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regelmässig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Vorträge,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Energieunterricht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Klassen,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Solarkino-Abende,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Konzerte,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Ener-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gieapéros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sogar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Gemeinderatssitzun-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statt.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Eventhaus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nutzt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Vorbild-</w:t>
      </w:r>
    </w:p>
    <w:p w14:paraId="326B9DD5" w14:textId="77777777" w:rsidR="0068128F" w:rsidRDefault="00931247">
      <w:pPr>
        <w:spacing w:before="43" w:line="232" w:lineRule="auto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l’efficacité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énergétique,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l’utilisation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énergies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renouvelables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concept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bâtiment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positive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(BEP)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lors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différents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événements.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4,6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placée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façades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3’700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façades abritent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9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position w:val="6"/>
          <w:sz w:val="10"/>
          <w:szCs w:val="10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capteurs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produisent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150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kWh/a.</w:t>
      </w:r>
    </w:p>
    <w:p w14:paraId="6592D2B6" w14:textId="77777777" w:rsidR="0068128F" w:rsidRDefault="00931247">
      <w:pPr>
        <w:spacing w:line="140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pacing w:val="1"/>
          <w:sz w:val="14"/>
        </w:rPr>
        <w:t>Projektleitung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Energiebildung</w:t>
      </w:r>
    </w:p>
    <w:p w14:paraId="4CAA8441" w14:textId="77777777" w:rsidR="0068128F" w:rsidRDefault="00931247">
      <w:pPr>
        <w:spacing w:before="6" w:line="207" w:lineRule="auto"/>
        <w:ind w:left="106" w:right="124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Förderverein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energietal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toggenburg</w:t>
      </w:r>
      <w:r>
        <w:rPr>
          <w:rFonts w:ascii="Theinhardt Regular" w:hAnsi="Theinhardt Regular"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Bahnhofstrasse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1,</w:t>
      </w:r>
      <w:r>
        <w:rPr>
          <w:rFonts w:ascii="Theinhardt Regular" w:hAnsi="Theinhardt Regular"/>
          <w:color w:val="231F20"/>
          <w:sz w:val="14"/>
        </w:rPr>
        <w:t xml:space="preserve"> 9630 </w:t>
      </w:r>
      <w:r>
        <w:rPr>
          <w:rFonts w:ascii="Theinhardt Regular" w:hAnsi="Theinhardt Regular"/>
          <w:color w:val="231F20"/>
          <w:spacing w:val="2"/>
          <w:sz w:val="14"/>
        </w:rPr>
        <w:t>Wattwil</w:t>
      </w:r>
    </w:p>
    <w:p w14:paraId="44A0A048" w14:textId="77777777" w:rsidR="0068128F" w:rsidRDefault="00931247">
      <w:pPr>
        <w:spacing w:line="207" w:lineRule="auto"/>
        <w:ind w:left="106" w:right="90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Patrizia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Egloff,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 xml:space="preserve"> 987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 xml:space="preserve"> 77</w:t>
      </w:r>
      <w:hyperlink r:id="rId7">
        <w:r>
          <w:rPr>
            <w:rFonts w:ascii="Theinhardt Regular"/>
            <w:color w:val="231F20"/>
            <w:spacing w:val="29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patrizia.egloff@energietal-toggenburg.ch</w:t>
        </w:r>
      </w:hyperlink>
    </w:p>
    <w:p w14:paraId="6131CEDC" w14:textId="77777777" w:rsidR="0068128F" w:rsidRDefault="00931247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Energiekonzept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Bauleitung</w:t>
      </w:r>
    </w:p>
    <w:p w14:paraId="4ED9AC8E" w14:textId="77777777" w:rsidR="0068128F" w:rsidRDefault="00931247">
      <w:pPr>
        <w:spacing w:before="6" w:line="207" w:lineRule="auto"/>
        <w:ind w:left="106" w:right="155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Lucido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Solar</w:t>
      </w:r>
      <w:r>
        <w:rPr>
          <w:rFonts w:ascii="Theinhardt Regular"/>
          <w:color w:val="231F20"/>
          <w:sz w:val="14"/>
        </w:rPr>
        <w:t xml:space="preserve"> AG</w:t>
      </w:r>
      <w:r>
        <w:rPr>
          <w:rFonts w:ascii="Theinhardt Regular"/>
          <w:color w:val="231F20"/>
          <w:spacing w:val="26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Hofbergstrasse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21,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9500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Wil</w:t>
      </w:r>
    </w:p>
    <w:p w14:paraId="0FBDAD3D" w14:textId="77777777" w:rsidR="0068128F" w:rsidRDefault="00931247">
      <w:pPr>
        <w:spacing w:line="207" w:lineRule="auto"/>
        <w:ind w:left="106" w:right="90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Stefan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Wyss,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913</w:t>
      </w:r>
      <w:r>
        <w:rPr>
          <w:rFonts w:ascii="Theinhardt Regular"/>
          <w:color w:val="231F20"/>
          <w:sz w:val="14"/>
        </w:rPr>
        <w:t xml:space="preserve"> 30 55</w:t>
      </w:r>
      <w:hyperlink r:id="rId8">
        <w:r>
          <w:rPr>
            <w:rFonts w:ascii="Theinhardt Regular"/>
            <w:color w:val="231F20"/>
            <w:spacing w:val="22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stefan.wyss@gfak.ch</w:t>
        </w:r>
      </w:hyperlink>
    </w:p>
    <w:p w14:paraId="7AABB4FA" w14:textId="77777777" w:rsidR="0068128F" w:rsidRDefault="00931247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Handwerk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Ausführung</w:t>
      </w:r>
    </w:p>
    <w:p w14:paraId="284AE763" w14:textId="77777777" w:rsidR="0068128F" w:rsidRDefault="00931247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 xml:space="preserve">Verein </w:t>
      </w:r>
      <w:r>
        <w:rPr>
          <w:rFonts w:ascii="Theinhardt Regular"/>
          <w:color w:val="231F20"/>
          <w:spacing w:val="1"/>
          <w:sz w:val="14"/>
        </w:rPr>
        <w:t>mini.art</w:t>
      </w:r>
    </w:p>
    <w:p w14:paraId="5C9B9183" w14:textId="77777777" w:rsidR="0068128F" w:rsidRDefault="00931247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Rotenbach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2372,</w:t>
      </w:r>
      <w:r>
        <w:rPr>
          <w:rFonts w:ascii="Theinhardt Regular"/>
          <w:color w:val="231F20"/>
          <w:sz w:val="14"/>
        </w:rPr>
        <w:t xml:space="preserve"> 9620 </w:t>
      </w:r>
      <w:r>
        <w:rPr>
          <w:rFonts w:ascii="Theinhardt Regular"/>
          <w:color w:val="231F20"/>
          <w:spacing w:val="2"/>
          <w:sz w:val="14"/>
        </w:rPr>
        <w:t>Lichtensteig</w:t>
      </w:r>
    </w:p>
    <w:p w14:paraId="572A328B" w14:textId="77777777" w:rsidR="0068128F" w:rsidRDefault="00931247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525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82</w:t>
      </w:r>
    </w:p>
    <w:p w14:paraId="08E1E42D" w14:textId="77777777" w:rsidR="0068128F" w:rsidRDefault="00931247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hyperlink r:id="rId9">
        <w:r>
          <w:rPr>
            <w:rFonts w:ascii="Theinhardt Regular"/>
            <w:color w:val="231F20"/>
            <w:spacing w:val="2"/>
            <w:sz w:val="14"/>
          </w:rPr>
          <w:t>mini@wirkstadt.ch</w:t>
        </w:r>
      </w:hyperlink>
    </w:p>
    <w:p w14:paraId="5CFB587B" w14:textId="77777777" w:rsidR="0068128F" w:rsidRDefault="0068128F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68128F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3" w:space="119"/>
            <w:col w:w="3453" w:space="119"/>
            <w:col w:w="3566"/>
          </w:cols>
        </w:sectPr>
      </w:pPr>
    </w:p>
    <w:p w14:paraId="317E4120" w14:textId="77777777" w:rsidR="0068128F" w:rsidRDefault="0068128F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53952551" w14:textId="77777777" w:rsidR="0068128F" w:rsidRDefault="00931247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4A29A6CA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BC57336" w14:textId="77777777" w:rsidR="0068128F" w:rsidRDefault="0068128F">
      <w:pPr>
        <w:spacing w:before="1"/>
        <w:rPr>
          <w:rFonts w:ascii="Theinhardt Regular" w:eastAsia="Theinhardt Regular" w:hAnsi="Theinhardt Regular" w:cs="Theinhardt Regular"/>
          <w:sz w:val="24"/>
          <w:szCs w:val="24"/>
        </w:rPr>
      </w:pPr>
    </w:p>
    <w:p w14:paraId="00E1AFD8" w14:textId="77777777" w:rsidR="0068128F" w:rsidRDefault="00931247">
      <w:pPr>
        <w:spacing w:line="200" w:lineRule="atLeast"/>
        <w:ind w:left="725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3AF07444" wp14:editId="35A92939">
            <wp:extent cx="2142151" cy="164287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151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3A10C" w14:textId="77777777" w:rsidR="0068128F" w:rsidRDefault="00931247">
      <w:pPr>
        <w:tabs>
          <w:tab w:val="left" w:pos="7248"/>
        </w:tabs>
        <w:spacing w:line="196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position w:val="2"/>
          <w:sz w:val="14"/>
        </w:rPr>
        <w:t>2</w:t>
      </w:r>
    </w:p>
    <w:p w14:paraId="0AE63051" w14:textId="77777777" w:rsidR="0068128F" w:rsidRDefault="0068128F">
      <w:pPr>
        <w:spacing w:line="196" w:lineRule="exact"/>
        <w:rPr>
          <w:rFonts w:ascii="Theinhardt Bold" w:eastAsia="Theinhardt Bold" w:hAnsi="Theinhardt Bold" w:cs="Theinhardt Bold"/>
          <w:sz w:val="14"/>
          <w:szCs w:val="14"/>
        </w:rPr>
        <w:sectPr w:rsidR="0068128F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3BD8421B" w14:textId="77777777" w:rsidR="0068128F" w:rsidRDefault="0068128F">
      <w:pPr>
        <w:spacing w:before="2"/>
        <w:rPr>
          <w:rFonts w:ascii="Theinhardt Bold" w:eastAsia="Theinhardt Bold" w:hAnsi="Theinhardt Bold" w:cs="Theinhardt Bold"/>
          <w:b/>
          <w:bCs/>
          <w:sz w:val="10"/>
          <w:szCs w:val="10"/>
        </w:rPr>
      </w:pPr>
    </w:p>
    <w:p w14:paraId="726CE5DD" w14:textId="77777777" w:rsidR="0068128F" w:rsidRDefault="00931247">
      <w:pPr>
        <w:numPr>
          <w:ilvl w:val="0"/>
          <w:numId w:val="1"/>
        </w:numPr>
        <w:tabs>
          <w:tab w:val="left" w:pos="334"/>
        </w:tabs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Die </w:t>
      </w:r>
      <w:r>
        <w:rPr>
          <w:rFonts w:ascii="Theinhardt Bold" w:hAnsi="Theinhardt Bold"/>
          <w:b/>
          <w:color w:val="231F20"/>
          <w:spacing w:val="-1"/>
          <w:sz w:val="14"/>
        </w:rPr>
        <w:t>mobile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solare</w:t>
      </w:r>
      <w:r>
        <w:rPr>
          <w:rFonts w:ascii="Theinhardt Bold" w:hAnsi="Theinhardt Bold"/>
          <w:b/>
          <w:color w:val="231F20"/>
          <w:sz w:val="14"/>
        </w:rPr>
        <w:t xml:space="preserve"> Architektur des Eventhauses</w:t>
      </w:r>
      <w:r>
        <w:rPr>
          <w:rFonts w:ascii="Theinhardt Bold" w:hAnsi="Theinhardt Bold"/>
          <w:b/>
          <w:color w:val="231F20"/>
          <w:spacing w:val="2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dient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Energiebildung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aller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Bevölkerungs-</w:t>
      </w:r>
      <w:r>
        <w:rPr>
          <w:rFonts w:ascii="Theinhardt Bold" w:hAnsi="Theinhardt Bold"/>
          <w:b/>
          <w:color w:val="231F20"/>
          <w:spacing w:val="65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schichten</w:t>
      </w:r>
      <w:r>
        <w:rPr>
          <w:rFonts w:ascii="Theinhardt Bold" w:hAnsi="Theinhardt Bold"/>
          <w:b/>
          <w:color w:val="231F20"/>
          <w:sz w:val="14"/>
        </w:rPr>
        <w:t xml:space="preserve"> des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Toggenburgs.</w:t>
      </w:r>
    </w:p>
    <w:p w14:paraId="56BB4A3E" w14:textId="77777777" w:rsidR="0068128F" w:rsidRDefault="00931247">
      <w:pPr>
        <w:spacing w:before="3"/>
        <w:rPr>
          <w:rFonts w:ascii="Theinhardt Bold" w:eastAsia="Theinhardt Bold" w:hAnsi="Theinhardt Bold" w:cs="Theinhardt Bold"/>
          <w:b/>
          <w:bCs/>
          <w:sz w:val="10"/>
          <w:szCs w:val="10"/>
        </w:rPr>
      </w:pPr>
      <w:r>
        <w:br w:type="column"/>
      </w:r>
    </w:p>
    <w:p w14:paraId="6A1C0935" w14:textId="77777777" w:rsidR="0068128F" w:rsidRDefault="00931247">
      <w:pPr>
        <w:numPr>
          <w:ilvl w:val="0"/>
          <w:numId w:val="1"/>
        </w:numPr>
        <w:tabs>
          <w:tab w:val="left" w:pos="334"/>
        </w:tabs>
        <w:spacing w:line="160" w:lineRule="exact"/>
        <w:ind w:right="37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Die 4.56 kW </w:t>
      </w:r>
      <w:r>
        <w:rPr>
          <w:rFonts w:ascii="Theinhardt Bold"/>
          <w:b/>
          <w:color w:val="231F20"/>
          <w:spacing w:val="-1"/>
          <w:sz w:val="14"/>
        </w:rPr>
        <w:t>starken</w:t>
      </w:r>
      <w:r>
        <w:rPr>
          <w:rFonts w:ascii="Theinhardt Bold"/>
          <w:b/>
          <w:color w:val="231F20"/>
          <w:sz w:val="14"/>
        </w:rPr>
        <w:t xml:space="preserve"> PV-Anlagen auf </w:t>
      </w:r>
      <w:r>
        <w:rPr>
          <w:rFonts w:ascii="Theinhardt Bold"/>
          <w:b/>
          <w:color w:val="231F20"/>
          <w:spacing w:val="-1"/>
          <w:sz w:val="14"/>
        </w:rPr>
        <w:t>dem</w:t>
      </w:r>
      <w:r>
        <w:rPr>
          <w:rFonts w:ascii="Theinhardt Bold"/>
          <w:b/>
          <w:color w:val="231F20"/>
          <w:sz w:val="14"/>
        </w:rPr>
        <w:t xml:space="preserve"> Dach</w:t>
      </w:r>
      <w:r>
        <w:rPr>
          <w:rFonts w:ascii="Theinhardt Bold"/>
          <w:b/>
          <w:color w:val="231F20"/>
          <w:spacing w:val="2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 xml:space="preserve">und an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Fassade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erzeugen</w:t>
      </w:r>
      <w:r>
        <w:rPr>
          <w:rFonts w:ascii="Theinhardt Bold"/>
          <w:b/>
          <w:color w:val="231F20"/>
          <w:sz w:val="14"/>
        </w:rPr>
        <w:t xml:space="preserve"> zusammen mit </w:t>
      </w:r>
      <w:r>
        <w:rPr>
          <w:rFonts w:ascii="Theinhardt Bold"/>
          <w:b/>
          <w:color w:val="231F20"/>
          <w:spacing w:val="-1"/>
          <w:sz w:val="14"/>
        </w:rPr>
        <w:t>der</w:t>
      </w:r>
    </w:p>
    <w:p w14:paraId="509A2A8B" w14:textId="77777777" w:rsidR="0068128F" w:rsidRDefault="00931247">
      <w:pPr>
        <w:spacing w:line="160" w:lineRule="exact"/>
        <w:ind w:left="333" w:right="37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8.9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m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position w:val="5"/>
          <w:sz w:val="8"/>
          <w:szCs w:val="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Lucido-Fassade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3’855 kWh</w:t>
      </w:r>
      <w:r>
        <w:rPr>
          <w:rFonts w:ascii="Theinhardt Bold" w:eastAsia="Theinhardt Bold" w:hAnsi="Theinhardt Bold" w:cs="Theinhardt Bold"/>
          <w:b/>
          <w:bCs/>
          <w:color w:val="231F20"/>
          <w:spacing w:val="4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Eigenenergie.</w:t>
      </w:r>
    </w:p>
    <w:p w14:paraId="455EECBD" w14:textId="77777777" w:rsidR="0068128F" w:rsidRDefault="0068128F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68128F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317" w:space="254"/>
            <w:col w:w="7139"/>
          </w:cols>
        </w:sectPr>
      </w:pPr>
    </w:p>
    <w:p w14:paraId="35C4E3A5" w14:textId="77777777" w:rsidR="0068128F" w:rsidRDefault="00931247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52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</w:t>
      </w:r>
    </w:p>
    <w:sectPr w:rsidR="0068128F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Medium">
    <w:altName w:val="Theinhardt Medium"/>
    <w:panose1 w:val="020B06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724B9"/>
    <w:multiLevelType w:val="hybridMultilevel"/>
    <w:tmpl w:val="0BD06606"/>
    <w:lvl w:ilvl="0" w:tplc="7BD049E4">
      <w:start w:val="1"/>
      <w:numFmt w:val="decimal"/>
      <w:lvlText w:val="%1"/>
      <w:lvlJc w:val="left"/>
      <w:pPr>
        <w:ind w:left="33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097AF516">
      <w:start w:val="1"/>
      <w:numFmt w:val="bullet"/>
      <w:lvlText w:val="•"/>
      <w:lvlJc w:val="left"/>
      <w:pPr>
        <w:ind w:left="632" w:hanging="227"/>
      </w:pPr>
      <w:rPr>
        <w:rFonts w:hint="default"/>
      </w:rPr>
    </w:lvl>
    <w:lvl w:ilvl="2" w:tplc="FD3693D0">
      <w:start w:val="1"/>
      <w:numFmt w:val="bullet"/>
      <w:lvlText w:val="•"/>
      <w:lvlJc w:val="left"/>
      <w:pPr>
        <w:ind w:left="930" w:hanging="227"/>
      </w:pPr>
      <w:rPr>
        <w:rFonts w:hint="default"/>
      </w:rPr>
    </w:lvl>
    <w:lvl w:ilvl="3" w:tplc="F7900000">
      <w:start w:val="1"/>
      <w:numFmt w:val="bullet"/>
      <w:lvlText w:val="•"/>
      <w:lvlJc w:val="left"/>
      <w:pPr>
        <w:ind w:left="1228" w:hanging="227"/>
      </w:pPr>
      <w:rPr>
        <w:rFonts w:hint="default"/>
      </w:rPr>
    </w:lvl>
    <w:lvl w:ilvl="4" w:tplc="45DA2F06">
      <w:start w:val="1"/>
      <w:numFmt w:val="bullet"/>
      <w:lvlText w:val="•"/>
      <w:lvlJc w:val="left"/>
      <w:pPr>
        <w:ind w:left="1526" w:hanging="227"/>
      </w:pPr>
      <w:rPr>
        <w:rFonts w:hint="default"/>
      </w:rPr>
    </w:lvl>
    <w:lvl w:ilvl="5" w:tplc="60646116">
      <w:start w:val="1"/>
      <w:numFmt w:val="bullet"/>
      <w:lvlText w:val="•"/>
      <w:lvlJc w:val="left"/>
      <w:pPr>
        <w:ind w:left="1825" w:hanging="227"/>
      </w:pPr>
      <w:rPr>
        <w:rFonts w:hint="default"/>
      </w:rPr>
    </w:lvl>
    <w:lvl w:ilvl="6" w:tplc="0ACCB428">
      <w:start w:val="1"/>
      <w:numFmt w:val="bullet"/>
      <w:lvlText w:val="•"/>
      <w:lvlJc w:val="left"/>
      <w:pPr>
        <w:ind w:left="2123" w:hanging="227"/>
      </w:pPr>
      <w:rPr>
        <w:rFonts w:hint="default"/>
      </w:rPr>
    </w:lvl>
    <w:lvl w:ilvl="7" w:tplc="0FE8946E">
      <w:start w:val="1"/>
      <w:numFmt w:val="bullet"/>
      <w:lvlText w:val="•"/>
      <w:lvlJc w:val="left"/>
      <w:pPr>
        <w:ind w:left="2421" w:hanging="227"/>
      </w:pPr>
      <w:rPr>
        <w:rFonts w:hint="default"/>
      </w:rPr>
    </w:lvl>
    <w:lvl w:ilvl="8" w:tplc="D3305126">
      <w:start w:val="1"/>
      <w:numFmt w:val="bullet"/>
      <w:lvlText w:val="•"/>
      <w:lvlJc w:val="left"/>
      <w:pPr>
        <w:ind w:left="272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28F"/>
    <w:rsid w:val="0068128F"/>
    <w:rsid w:val="009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3A3458C6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wyss@gfak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zia.egloff@energietal-toggenbur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ini@wirkstad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3866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2020-10-07T11:10:00Z</dcterms:created>
  <dcterms:modified xsi:type="dcterms:W3CDTF">2020-10-07T09:11:00Z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