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8" w:val="left" w:leader="none"/>
        </w:tabs>
        <w:spacing w:line="230" w:lineRule="exact" w:before="28"/>
        <w:ind w:left="107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594898pt;margin-top:13.647326pt;width:.1pt;height:.1pt;mso-position-horizontal-relative:page;mso-position-vertical-relative:paragraph;z-index:-6928" coordorigin="852,273" coordsize="2,2">
            <v:shape style="position:absolute;left:852;top:273;width:2;height:2" coordorigin="852,273" coordsize="0,0" path="m852,273l852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333893pt;margin-top:13.647326pt;width:.1pt;height:.1pt;mso-position-horizontal-relative:page;mso-position-vertical-relative:paragraph;z-index:1096" coordorigin="3287,273" coordsize="2,2">
            <v:shape style="position:absolute;left:3287;top:273;width:2;height:2" coordorigin="3287,273" coordsize="0,0" path="m3287,273l3287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594898pt;margin-top:25.147326pt;width:.1pt;height:.1pt;mso-position-horizontal-relative:page;mso-position-vertical-relative:paragraph;z-index:-6880" coordorigin="852,503" coordsize="2,2">
            <v:shape style="position:absolute;left:852;top:503;width:2;height:2" coordorigin="852,503" coordsize="0,0" path="m852,503l852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333893pt;margin-top:25.147326pt;width:.1pt;height:.1pt;mso-position-horizontal-relative:page;mso-position-vertical-relative:paragraph;z-index:1144" coordorigin="3287,503" coordsize="2,2">
            <v:shape style="position:absolute;left:3287;top:503;width:2;height:2" coordorigin="3287,503" coordsize="0,0" path="m3287,503l3287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pacing w:val="-1"/>
          <w:sz w:val="18"/>
          <w:u w:val="dotted" w:color="231F20"/>
        </w:rPr>
        <w:t>Sanierungen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2020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7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innerstädtischen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Häuserzeile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gelegene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Klybeckstrasse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8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Basel-Stadt</w:t>
      </w:r>
      <w:r>
        <w:rPr>
          <w:rFonts w:ascii="Theinhardt Bold" w:hAnsi="Theinhardt Bold" w:cs="Theinhardt Bold" w:eastAsia="Theinhardt Bold"/>
          <w:b/>
          <w:bCs/>
          <w:color w:val="0C1C23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1897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erbaut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50er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Jahren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wesentlich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renoviert.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 Mit</w:t>
      </w:r>
      <w:r>
        <w:rPr>
          <w:rFonts w:ascii="Theinhardt Bold" w:hAnsi="Theinhardt Bold" w:cs="Theinhardt Bold" w:eastAsia="Theinhardt Bold"/>
          <w:b/>
          <w:bCs/>
          <w:color w:val="0C1C23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wohnungsin-</w:t>
      </w:r>
      <w:r>
        <w:rPr>
          <w:rFonts w:ascii="Theinhardt Bold" w:hAnsi="Theinhardt Bold" w:cs="Theinhardt Bold" w:eastAsia="Theinhardt Bold"/>
          <w:b/>
          <w:bCs/>
          <w:color w:val="0C1C23"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ternen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Sanierungen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bisher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ungenutzte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Mansardengeschoss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Geschosse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0C1C23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Wohnraum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umgebaut.</w:t>
      </w:r>
      <w:r>
        <w:rPr>
          <w:rFonts w:ascii="Theinhardt Bold" w:hAnsi="Theinhardt Bold" w:cs="Theinhardt Bold" w:eastAsia="Theinhardt Bold"/>
          <w:b/>
          <w:bCs/>
          <w:color w:val="0C1C23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betrug</w:t>
      </w:r>
      <w:r>
        <w:rPr>
          <w:rFonts w:ascii="Theinhardt Bold" w:hAnsi="Theinhardt Bold" w:cs="Theinhardt Bold" w:eastAsia="Theinhardt Bold"/>
          <w:b/>
          <w:bCs/>
          <w:color w:val="0C1C23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92’000</w:t>
      </w:r>
      <w:r>
        <w:rPr>
          <w:rFonts w:ascii="Theinhardt Bold" w:hAnsi="Theinhardt Bold" w:cs="Theinhardt Bold" w:eastAsia="Theinhardt Bold"/>
          <w:b/>
          <w:bCs/>
          <w:color w:val="0C1C23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kWh/a;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nachher</w:t>
      </w:r>
      <w:r>
        <w:rPr>
          <w:rFonts w:ascii="Theinhardt Bold" w:hAnsi="Theinhardt Bold" w:cs="Theinhardt Bold" w:eastAsia="Theinhardt Bold"/>
          <w:b/>
          <w:bCs/>
          <w:color w:val="0C1C23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27%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color w:val="0C1C23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Energiebezugsfläche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0C1C23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neuen</w:t>
      </w:r>
      <w:r>
        <w:rPr>
          <w:rFonts w:ascii="Theinhardt Bold" w:hAnsi="Theinhardt Bold" w:cs="Theinhardt Bold" w:eastAsia="Theinhardt Bold"/>
          <w:b/>
          <w:bCs/>
          <w:color w:val="0C1C23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color w:val="0C1C23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105’000</w:t>
      </w:r>
      <w:r>
        <w:rPr>
          <w:rFonts w:ascii="Theinhardt Bold" w:hAnsi="Theinhardt Bold" w:cs="Theinhardt Bold" w:eastAsia="Theinhardt Bold"/>
          <w:b/>
          <w:bCs/>
          <w:color w:val="0C1C23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0C1C23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22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starken,</w:t>
      </w:r>
      <w:r>
        <w:rPr>
          <w:rFonts w:ascii="Theinhardt Bold" w:hAnsi="Theinhardt Bold" w:cs="Theinhardt Bold" w:eastAsia="Theinhardt Bold"/>
          <w:b/>
          <w:bCs/>
          <w:color w:val="0C1C23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0C1C23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Ost-West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aus-</w:t>
      </w:r>
      <w:r>
        <w:rPr>
          <w:rFonts w:ascii="Theinhardt Bold" w:hAnsi="Theinhardt Bold" w:cs="Theinhardt Bold" w:eastAsia="Theinhardt Bold"/>
          <w:b/>
          <w:bCs/>
          <w:color w:val="0C1C23"/>
          <w:spacing w:val="7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gerichteten PV-Anlage versehen.</w:t>
      </w:r>
      <w:r>
        <w:rPr>
          <w:rFonts w:ascii="Theinhardt Bold" w:hAnsi="Theinhardt Bold" w:cs="Theinhardt Bold" w:eastAsia="Theinhardt Bold"/>
          <w:b/>
          <w:bCs/>
          <w:color w:val="0C1C23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Sie erzeugt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 18’000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 und versorgt 17% des Gesam-</w:t>
      </w:r>
      <w:r>
        <w:rPr>
          <w:rFonts w:ascii="Theinhardt Bold" w:hAnsi="Theinhardt Bold" w:cs="Theinhardt Bold" w:eastAsia="Theinhardt Bold"/>
          <w:b/>
          <w:bCs/>
          <w:color w:val="0C1C23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tenergiebedarfs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MFH.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39" w:space="143"/>
            <w:col w:w="802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17%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MFH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Sanierung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Klybeckstrasse,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4057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Basel/BS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2" w:lineRule="auto" w:before="89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Herzen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von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Kleinbasel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gelegene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Wohnhaus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wurde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Ende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19.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Jahrhundert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Blockrand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als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repräsentatives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Wohnhaus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Historismus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gebaut. </w:t>
      </w:r>
      <w:r>
        <w:rPr>
          <w:color w:val="231F20"/>
          <w:spacing w:val="-1"/>
        </w:rPr>
        <w:t>Mit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dem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Umbau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den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50er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Jahren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sind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historischen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Gestal-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tungselemente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Fassade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entfernt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worden.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Innensanierung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ohne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zusätzliche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Däm-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mung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alten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Bausubstanz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erfolgte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parallel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zur zweigeschossigen Dachaufstockung.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Auf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diese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Weise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entstand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zusätzlicher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Wohnraum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zwei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neue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Wohnungen.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Energiebe-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zugsfläche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stieg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27%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von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726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auf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926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perfekt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ganzflächig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integrierte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Dachanlage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ist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Ost-West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ausgerichtet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produziert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18’000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kWh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Strom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Jahr.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neue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Solardach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verfügt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über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eine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gute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Wär-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medämmung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28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cm.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Dazu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wurden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neue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Fenster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3-Fach-Wärmeschutzgläsern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ein-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gesetzt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A++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Haushaltsgeräte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verwen-</w:t>
      </w:r>
      <w:r>
        <w:rPr/>
      </w:r>
    </w:p>
    <w:p>
      <w:pPr>
        <w:spacing w:before="67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198.425003pt;margin-top:111.067001pt;width:189.922pt;height:148.110pt;mso-position-horizontal-relative:page;mso-position-vertical-relative:paragraph;z-index:-6808" type="#_x0000_t75" stroked="false">
            <v:imagedata r:id="rId5" o:title=""/>
          </v:shape>
        </w:pict>
      </w:r>
      <w:r>
        <w:rPr/>
        <w:pict>
          <v:shape style="position:absolute;margin-left:198.425003pt;margin-top:2.642pt;width:189.922pt;height:94.96pt;mso-position-horizontal-relative:page;mso-position-vertical-relative:paragraph;z-index:-6784" type="#_x0000_t75" stroked="false">
            <v:imagedata r:id="rId6" o:title=""/>
          </v:shape>
        </w:pict>
      </w:r>
      <w:r>
        <w:rPr>
          <w:position w:val="-261"/>
        </w:rPr>
        <w:drawing>
          <wp:inline distT="0" distB="0" distL="0" distR="0">
            <wp:extent cx="1818005" cy="2961004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96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1"/>
        </w:rPr>
      </w:r>
      <w:r>
        <w:rPr>
          <w:rFonts w:ascii="Times New Roman"/>
          <w:sz w:val="20"/>
        </w:rPr>
        <w:t>     </w:t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before="16"/>
        <w:ind w:left="122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0"/>
        <w:ind w:left="0" w:right="151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w w:val="95"/>
          <w:sz w:val="14"/>
        </w:rPr>
        <w:t>3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before="70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Gebäude vor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Sanierung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23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Ansicht des ausgebauten </w:t>
      </w:r>
      <w:r>
        <w:rPr>
          <w:rFonts w:ascii="Theinhardt Bold"/>
          <w:b/>
          <w:color w:val="231F20"/>
          <w:spacing w:val="-1"/>
          <w:sz w:val="14"/>
        </w:rPr>
        <w:t>Dachstocks</w:t>
      </w:r>
      <w:r>
        <w:rPr>
          <w:rFonts w:ascii="Theinhardt Bold"/>
          <w:b/>
          <w:color w:val="231F20"/>
          <w:sz w:val="14"/>
        </w:rPr>
        <w:t> mit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Bold"/>
          <w:b/>
          <w:color w:val="231F20"/>
          <w:sz w:val="14"/>
        </w:rPr>
        <w:t>PV-Anlage.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74"/>
        <w:ind w:right="0"/>
        <w:jc w:val="both"/>
      </w:pPr>
      <w:r>
        <w:rPr/>
        <w:br w:type="column"/>
      </w:r>
      <w:r>
        <w:rPr>
          <w:color w:val="231F20"/>
          <w:spacing w:val="-1"/>
        </w:rPr>
        <w:t>det.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Diese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Sanierungsmassnahmen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reduzier-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ten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etwas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den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überdurchschnittlichen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Energiebedarf.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dem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produzierten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Solar-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strom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kann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Energiebedarf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Wohnge-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bäudes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knapp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17%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gedeckt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werden.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dem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neuen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Anschluss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Basler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Fernwär-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erfolgt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zugeführte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Fremdenergie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zu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80% </w:t>
      </w:r>
      <w:r>
        <w:rPr>
          <w:color w:val="231F20"/>
          <w:spacing w:val="-3"/>
        </w:rPr>
        <w:t>CO</w:t>
      </w:r>
      <w:r>
        <w:rPr>
          <w:color w:val="231F20"/>
          <w:spacing w:val="-3"/>
          <w:position w:val="-5"/>
          <w:sz w:val="10"/>
        </w:rPr>
        <w:t>2</w:t>
      </w:r>
      <w:r>
        <w:rPr>
          <w:color w:val="231F20"/>
          <w:spacing w:val="-3"/>
        </w:rPr>
        <w:t>-neutral.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color w:val="231F20"/>
          <w:spacing w:val="-2"/>
        </w:rPr>
        <w:t>Die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Sanierung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MFH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zeigt, </w:t>
      </w:r>
      <w:r>
        <w:rPr>
          <w:color w:val="231F20"/>
          <w:spacing w:val="-1"/>
        </w:rPr>
        <w:t>dass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verhältnismässig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geringen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Mitteln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larenergie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eingebunden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werden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kann.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bestehenden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Wohnungen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blieben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während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Sanierung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bewohnt.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gemeinnützige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Wohngenossenschaft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hob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Mietzinse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kaum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an.</w:t>
      </w:r>
      <w:r>
        <w:rPr>
          <w:color w:val="231F20"/>
          <w:spacing w:val="25"/>
        </w:rPr>
        <w:t> </w:t>
      </w:r>
      <w:r>
        <w:rPr>
          <w:color w:val="231F20"/>
        </w:rPr>
        <w:t>Das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transformierte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Gebäude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markantem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Dachaufbau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integrierter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Photovoltaik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zeigt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Möglichkeit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zur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inneren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Verdichtung </w:t>
      </w:r>
      <w:r>
        <w:rPr>
          <w:color w:val="231F20"/>
          <w:spacing w:val="-1"/>
        </w:rPr>
        <w:t>mit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solarer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Dachnutzung.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numPr>
          <w:ilvl w:val="0"/>
          <w:numId w:val="1"/>
        </w:numPr>
        <w:tabs>
          <w:tab w:pos="352" w:val="left" w:leader="none"/>
        </w:tabs>
        <w:spacing w:line="160" w:lineRule="exact" w:before="0"/>
        <w:ind w:left="351" w:right="13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sanierte Gebäude an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Klybeckstrasse</w:t>
      </w:r>
      <w:r>
        <w:rPr>
          <w:rFonts w:ascii="Theinhardt Bold" w:hAnsi="Theinhardt Bold"/>
          <w:b/>
          <w:color w:val="231F20"/>
          <w:sz w:val="14"/>
        </w:rPr>
        <w:t> 8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 Basel-Stadt mit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PV-Dachanlage.</w:t>
      </w:r>
      <w:r>
        <w:rPr>
          <w:rFonts w:ascii="Theinhardt Bold" w:hAnsi="Theinhardt Bold"/>
          <w:sz w:val="14"/>
        </w:rPr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(Neubauteil)</w:t>
      </w:r>
      <w:r>
        <w:rPr>
          <w:rFonts w:ascii="Theinhardt Bold" w:hAns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630"/>
        <w:gridCol w:w="684"/>
        <w:gridCol w:w="471"/>
        <w:gridCol w:w="662"/>
      </w:tblGrid>
      <w:tr>
        <w:trPr>
          <w:trHeight w:val="423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55" w:right="39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pacing w:val="21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Fenster: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8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30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67" w:right="54" w:firstLine="117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color w:val="231F20"/>
                <w:spacing w:val="21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151" w:right="5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color w:val="231F20"/>
                <w:spacing w:val="2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3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0.16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3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0.16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58" w:lineRule="exact"/>
              <w:ind w:left="3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1.00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232" w:hRule="exact"/>
        </w:trPr>
        <w:tc>
          <w:tcPr>
            <w:tcW w:w="340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(100%)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55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726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5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19.6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18’000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5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w w:val="95"/>
                <w:sz w:val="14"/>
              </w:rPr>
              <w:t>85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67.4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62’000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5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w w:val="95"/>
                <w:sz w:val="14"/>
              </w:rPr>
              <w:t>17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12’000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9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127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3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92’000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4"/>
          <w:sz w:val="14"/>
        </w:rPr>
        <w:t>(114%)</w:t>
      </w:r>
      <w:r>
        <w:rPr>
          <w:rFonts w:ascii="Theinhardt Bold"/>
          <w:sz w:val="14"/>
        </w:rPr>
      </w:r>
    </w:p>
    <w:p>
      <w:pPr>
        <w:tabs>
          <w:tab w:pos="1697" w:val="left" w:leader="none"/>
          <w:tab w:pos="2533" w:val="left" w:leader="none"/>
          <w:tab w:pos="2996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100" w:val="left" w:leader="none"/>
          <w:tab w:pos="2938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21.9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23’000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04" w:val="left" w:leader="none"/>
          <w:tab w:pos="2936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Heizung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(Fernwärme):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71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62.9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66’000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09" w:val="left" w:leader="none"/>
          <w:tab w:pos="2944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15.2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16’000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9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113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100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105’000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87" w:val="left" w:leader="none"/>
          <w:tab w:pos="2019" w:val="left" w:leader="none"/>
          <w:tab w:pos="2533" w:val="left" w:leader="none"/>
          <w:tab w:pos="2935" w:val="left" w:leader="none"/>
        </w:tabs>
        <w:spacing w:line="207" w:lineRule="auto" w:before="6"/>
        <w:ind w:left="110" w:right="167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21.96</w:t>
        <w:tab/>
        <w:t>108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8"/>
          <w:sz w:val="14"/>
          <w:szCs w:val="14"/>
        </w:rPr>
        <w:t>17.1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18’000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5" w:val="left" w:leader="none"/>
          <w:tab w:pos="2935" w:val="left" w:leader="none"/>
        </w:tabs>
        <w:spacing w:line="167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17.1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18’000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642" w:val="left" w:leader="none"/>
          <w:tab w:pos="2995" w:val="left" w:leader="none"/>
        </w:tabs>
        <w:spacing w:line="172" w:lineRule="exact"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503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17.1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18’000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22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105’000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2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82.9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87’000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0" w:right="1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iwb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Installationskontrolle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Elektrizi-</w:t>
      </w:r>
      <w:r>
        <w:rPr>
          <w:rFonts w:ascii="Theinhardt Bold" w:hAnsi="Theinhardt Bold"/>
          <w:b/>
          <w:color w:val="231F20"/>
          <w:spacing w:val="4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tät</w:t>
      </w:r>
      <w:r>
        <w:rPr>
          <w:rFonts w:ascii="Theinhardt Bold" w:hAnsi="Theinhardt Bold"/>
          <w:b/>
          <w:color w:val="231F20"/>
          <w:sz w:val="14"/>
        </w:rPr>
        <w:t> in </w:t>
      </w:r>
      <w:r>
        <w:rPr>
          <w:rFonts w:ascii="Theinhardt Bold" w:hAnsi="Theinhardt Bold"/>
          <w:b/>
          <w:color w:val="231F20"/>
          <w:spacing w:val="2"/>
          <w:sz w:val="14"/>
        </w:rPr>
        <w:t>Basel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5"/>
          <w:sz w:val="14"/>
        </w:rPr>
        <w:t>7.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Mai</w:t>
      </w:r>
      <w:r>
        <w:rPr>
          <w:rFonts w:ascii="Theinhardt Regular" w:hAnsi="Theinhardt Regular"/>
          <w:color w:val="231F20"/>
          <w:sz w:val="14"/>
        </w:rPr>
        <w:t> 2020, </w:t>
      </w:r>
      <w:r>
        <w:rPr>
          <w:rFonts w:ascii="Theinhardt Regular" w:hAnsi="Theinhardt Regular"/>
          <w:color w:val="231F20"/>
          <w:spacing w:val="1"/>
          <w:sz w:val="14"/>
        </w:rPr>
        <w:t>David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Scherer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235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z w:val="14"/>
        </w:rPr>
        <w:t> 2020 </w:t>
      </w:r>
      <w:r>
        <w:rPr>
          <w:rFonts w:ascii="Theinhardt Regular" w:hAnsi="Theinhardt Regular"/>
          <w:color w:val="231F20"/>
          <w:spacing w:val="2"/>
          <w:sz w:val="14"/>
        </w:rPr>
        <w:t>erbrachte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überdurchschn.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viel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Solarertrag.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> 44).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1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Wohnstadt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Bau-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Verwaltungsgenossenschaft,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Base</w:t>
      </w:r>
      <w:hyperlink r:id="rId8">
        <w:r>
          <w:rPr>
            <w:rFonts w:ascii="Theinhardt Regular"/>
            <w:color w:val="231F20"/>
            <w:spacing w:val="2"/>
            <w:sz w:val="14"/>
          </w:rPr>
          <w:t>l,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www.wohnstadt.ch</w:t>
        </w:r>
        <w:r>
          <w:rPr>
            <w:rFonts w:ascii="Theinhardt Regular"/>
            <w:sz w:val="14"/>
          </w:rPr>
        </w:r>
      </w:hyperlink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Kühne,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61</w:t>
      </w:r>
      <w:r>
        <w:rPr>
          <w:rFonts w:ascii="Theinhardt Regular" w:hAnsi="Theinhardt Regular"/>
          <w:color w:val="231F20"/>
          <w:sz w:val="14"/>
        </w:rPr>
        <w:t> 284 96 66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10" w:right="124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Bauleitung</w:t>
      </w:r>
      <w:r>
        <w:rPr>
          <w:rFonts w:ascii="Theinhardt Bold"/>
          <w:b/>
          <w:color w:val="231F20"/>
          <w:spacing w:val="27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Dalcher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Studer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Basel</w:t>
      </w:r>
      <w:hyperlink r:id="rId9">
        <w:r>
          <w:rPr>
            <w:rFonts w:ascii="Theinhardt Regular"/>
            <w:color w:val="231F20"/>
            <w:spacing w:val="24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www.dalcherstuder.ch</w:t>
        </w:r>
        <w:r>
          <w:rPr>
            <w:rFonts w:ascii="Theinhardt Regular"/>
            <w:sz w:val="14"/>
          </w:rPr>
        </w:r>
      </w:hyperlink>
    </w:p>
    <w:p>
      <w:pPr>
        <w:spacing w:line="17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Heini</w:t>
      </w:r>
      <w:r>
        <w:rPr>
          <w:rFonts w:ascii="Theinhardt Regular"/>
          <w:color w:val="231F20"/>
          <w:sz w:val="14"/>
        </w:rPr>
        <w:t> Dalcher,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975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Holzbau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1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Stamm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Bau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Arlesheim</w:t>
      </w:r>
      <w:hyperlink r:id="rId10">
        <w:r>
          <w:rPr>
            <w:rFonts w:ascii="Theinhardt Regular"/>
            <w:color w:val="231F20"/>
            <w:spacing w:val="2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www.stamm-bau.ch</w:t>
        </w:r>
      </w:hyperlink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Simon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Merz,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276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8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GGS</w:t>
      </w:r>
      <w:r>
        <w:rPr>
          <w:rFonts w:ascii="Theinhardt Regular"/>
          <w:color w:val="231F20"/>
          <w:sz w:val="14"/>
        </w:rPr>
        <w:t> AG </w:t>
      </w:r>
      <w:r>
        <w:rPr>
          <w:rFonts w:ascii="Theinhardt Regular"/>
          <w:color w:val="231F20"/>
          <w:spacing w:val="1"/>
          <w:sz w:val="14"/>
        </w:rPr>
        <w:t>Holzbau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Spenglerei,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Gelterkinden</w:t>
      </w:r>
      <w:hyperlink r:id="rId11">
        <w:r>
          <w:rPr>
            <w:rFonts w:ascii="Theinhardt Regular"/>
            <w:color w:val="231F20"/>
            <w:spacing w:val="22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www.ggs-holzbau.ch</w:t>
        </w:r>
        <w:r>
          <w:rPr>
            <w:rFonts w:ascii="Theinhardt Regular"/>
            <w:sz w:val="14"/>
          </w:rPr>
        </w:r>
      </w:hyperlink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Marc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Bruggisser,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985 99 55</w:t>
      </w:r>
      <w:r>
        <w:rPr>
          <w:rFonts w:asci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10" w:right="1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Fenster</w:t>
      </w:r>
      <w:r>
        <w:rPr>
          <w:rFonts w:ascii="Theinhardt Regular"/>
          <w:color w:val="231F20"/>
          <w:spacing w:val="5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Schaub</w:t>
      </w:r>
      <w:r>
        <w:rPr>
          <w:rFonts w:ascii="Theinhardt Regular"/>
          <w:color w:val="231F20"/>
          <w:spacing w:val="5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Schreinerei,</w:t>
      </w:r>
      <w:r>
        <w:rPr>
          <w:rFonts w:ascii="Theinhardt Regular"/>
          <w:color w:val="231F20"/>
          <w:spacing w:val="5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Gelterkinden,</w:t>
      </w:r>
      <w:r>
        <w:rPr>
          <w:rFonts w:ascii="Theinhardt Regular"/>
          <w:color w:val="231F20"/>
          <w:spacing w:val="5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www.fens-</w:t>
      </w:r>
      <w:r>
        <w:rPr>
          <w:rFonts w:ascii="Theinhardt Regular"/>
          <w:color w:val="231F20"/>
          <w:spacing w:val="70"/>
          <w:sz w:val="14"/>
        </w:rPr>
        <w:t> </w:t>
      </w:r>
      <w:r>
        <w:rPr>
          <w:rFonts w:ascii="Theinhardt Regular"/>
          <w:color w:val="231F20"/>
          <w:sz w:val="14"/>
        </w:rPr>
        <w:t>ter-schaub.ch, </w:t>
      </w:r>
      <w:r>
        <w:rPr>
          <w:rFonts w:ascii="Theinhardt Regular"/>
          <w:color w:val="231F20"/>
          <w:spacing w:val="2"/>
          <w:sz w:val="14"/>
        </w:rPr>
        <w:t>Markus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Schaub,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981</w:t>
      </w:r>
      <w:r>
        <w:rPr>
          <w:rFonts w:ascii="Theinhardt Regular"/>
          <w:color w:val="231F20"/>
          <w:sz w:val="14"/>
        </w:rPr>
        <w:t> 29 </w:t>
      </w:r>
      <w:r>
        <w:rPr>
          <w:rFonts w:ascii="Theinhardt Regular"/>
          <w:color w:val="231F20"/>
          <w:spacing w:val="-2"/>
          <w:sz w:val="14"/>
        </w:rPr>
        <w:t>52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110" w:right="1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Grieder</w:t>
      </w:r>
      <w:r>
        <w:rPr>
          <w:rFonts w:ascii="Theinhardt Regular" w:hAnsi="Theinhardt Regular"/>
          <w:color w:val="231F20"/>
          <w:spacing w:val="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Haustechnik</w:t>
      </w:r>
      <w:r>
        <w:rPr>
          <w:rFonts w:ascii="Theinhardt Regular" w:hAnsi="Theinhardt Regular"/>
          <w:color w:val="231F20"/>
          <w:spacing w:val="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AG,</w:t>
      </w:r>
      <w:r>
        <w:rPr>
          <w:rFonts w:ascii="Theinhardt Regular" w:hAnsi="Theinhardt Regular"/>
          <w:color w:val="231F20"/>
          <w:spacing w:val="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Füllinsdorf,</w:t>
      </w:r>
      <w:r>
        <w:rPr>
          <w:rFonts w:ascii="Theinhardt Regular" w:hAnsi="Theinhardt Regular"/>
          <w:color w:val="231F20"/>
          <w:spacing w:val="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www.griederag.</w:t>
      </w:r>
      <w:r>
        <w:rPr>
          <w:rFonts w:ascii="Theinhardt Regular" w:hAnsi="Theinhardt Regular"/>
          <w:color w:val="231F20"/>
          <w:spacing w:val="6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Jörg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Pfister,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61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926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60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50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69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99.401703pt;margin-top:21.414497pt;width:167.25pt;height:.45pt;mso-position-horizontal-relative:page;mso-position-vertical-relative:paragraph;z-index:1168" coordorigin="7988,428" coordsize="3345,9">
            <v:group style="position:absolute;left:8009;top:433;width:3311;height:2" coordorigin="8009,433" coordsize="3311,2">
              <v:shape style="position:absolute;left:8009;top:433;width:3311;height:2" coordorigin="8009,433" coordsize="3311,0" path="m8009,433l11320,433e" filled="false" stroked="true" strokeweight=".425pt" strokecolor="#231f20">
                <v:path arrowok="t"/>
                <v:stroke dashstyle="dash"/>
              </v:shape>
            </v:group>
            <v:group style="position:absolute;left:7992;top:433;width:2;height:2" coordorigin="7992,433" coordsize="2,2">
              <v:shape style="position:absolute;left:7992;top:433;width:2;height:2" coordorigin="7992,433" coordsize="0,0" path="m7992,433l7992,433e" filled="false" stroked="true" strokeweight=".425pt" strokecolor="#231f20">
                <v:path arrowok="t"/>
              </v:shape>
            </v:group>
            <v:group style="position:absolute;left:11329;top:433;width:2;height:2" coordorigin="11329,433" coordsize="2,2">
              <v:shape style="position:absolute;left:11329;top:433;width:2;height:2" coordorigin="11329,433" coordsize="0,0" path="m11329,433l11329,433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1"/>
          <w:sz w:val="14"/>
        </w:rPr>
        <w:t>IWB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Industrielle</w:t>
      </w:r>
      <w:r>
        <w:rPr>
          <w:rFonts w:ascii="Theinhardt Regular"/>
          <w:color w:val="231F20"/>
          <w:sz w:val="14"/>
        </w:rPr>
        <w:t> Werke </w:t>
      </w:r>
      <w:r>
        <w:rPr>
          <w:rFonts w:ascii="Theinhardt Regular"/>
          <w:color w:val="231F20"/>
          <w:spacing w:val="2"/>
          <w:sz w:val="14"/>
        </w:rPr>
        <w:t>Base</w:t>
      </w:r>
      <w:hyperlink r:id="rId12">
        <w:r>
          <w:rPr>
            <w:rFonts w:ascii="Theinhardt Regular"/>
            <w:color w:val="231F20"/>
            <w:spacing w:val="2"/>
            <w:sz w:val="14"/>
          </w:rPr>
          <w:t>l,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www.iwb.ch</w:t>
        </w:r>
      </w:hyperlink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Kai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Sametinger,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275</w:t>
      </w:r>
      <w:r>
        <w:rPr>
          <w:rFonts w:ascii="Theinhardt Regular"/>
          <w:color w:val="231F20"/>
          <w:sz w:val="14"/>
        </w:rPr>
        <w:t> 53 </w:t>
      </w:r>
      <w:r>
        <w:rPr>
          <w:rFonts w:ascii="Theinhardt Regular"/>
          <w:color w:val="231F20"/>
          <w:spacing w:val="-3"/>
          <w:sz w:val="14"/>
        </w:rPr>
        <w:t>47</w:t>
      </w:r>
      <w:r>
        <w:rPr>
          <w:rFonts w:ascii="Theinhardt Regular"/>
          <w:sz w:val="14"/>
        </w:rPr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5" w:space="107"/>
            <w:col w:w="3456" w:space="110"/>
            <w:col w:w="3572"/>
          </w:cols>
        </w:sect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8"/>
          <w:szCs w:val="28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2020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2020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81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wohnstadt.ch/" TargetMode="External"/><Relationship Id="rId9" Type="http://schemas.openxmlformats.org/officeDocument/2006/relationships/hyperlink" Target="http://www.dalcherstuder.ch/" TargetMode="External"/><Relationship Id="rId10" Type="http://schemas.openxmlformats.org/officeDocument/2006/relationships/hyperlink" Target="http://www.stamm-bau.ch/" TargetMode="External"/><Relationship Id="rId11" Type="http://schemas.openxmlformats.org/officeDocument/2006/relationships/hyperlink" Target="http://www.ggs-holzbau.ch/" TargetMode="External"/><Relationship Id="rId12" Type="http://schemas.openxmlformats.org/officeDocument/2006/relationships/hyperlink" Target="http://www.iwb.ch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2020-10-07T12:34:43Z</dcterms:created>
  <dcterms:modified xsi:type="dcterms:W3CDTF">2020-10-07T12:34:43Z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