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3" w:val="left" w:leader="none"/>
        </w:tabs>
        <w:spacing w:line="230" w:lineRule="exact" w:before="28"/>
        <w:ind w:left="112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7.8622pt;margin-top:13.647326pt;width:.1pt;height:.1pt;mso-position-horizontal-relative:page;mso-position-vertical-relative:paragraph;z-index:-5536" coordorigin="557,273" coordsize="2,2">
            <v:shape style="position:absolute;left:557;top:273;width:2;height:2" coordorigin="557,273" coordsize="0,0" path="m557,273l557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49.601196pt;margin-top:13.647326pt;width:.1pt;height:.1pt;mso-position-horizontal-relative:page;mso-position-vertical-relative:paragraph;z-index:1120" coordorigin="2992,273" coordsize="2,2">
            <v:shape style="position:absolute;left:2992;top:273;width:2;height:2" coordorigin="2992,273" coordsize="0,0" path="m2992,273l2992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7.8622pt;margin-top:25.147326pt;width:.1pt;height:.1pt;mso-position-horizontal-relative:page;mso-position-vertical-relative:paragraph;z-index:-5488" coordorigin="557,503" coordsize="2,2">
            <v:shape style="position:absolute;left:557;top:503;width:2;height:2" coordorigin="557,503" coordsize="0,0" path="m557,503l557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49.601196pt;margin-top:25.147326pt;width:.1pt;height:.1pt;mso-position-horizontal-relative:page;mso-position-vertical-relative:paragraph;z-index:1168" coordorigin="2992,503" coordsize="2,2">
            <v:shape style="position:absolute;left:2992;top:503;width:2;height:2" coordorigin="2992,503" coordsize="0,0" path="m2992,503l2992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Neubauten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2" w:right="99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Située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centre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Renens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(VD),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résidence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Silo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Bleu,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achevée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début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2019,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abrite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273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loge-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ments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étudiants.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Doté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d’une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bonne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isolation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thermique,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nouveau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Minergie-P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consomme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seulement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658’000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moyenne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appartement.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deux</w:t>
      </w:r>
      <w:r>
        <w:rPr>
          <w:rFonts w:ascii="Theinhardt Bold" w:hAnsi="Theinhardt Bold" w:cs="Theinhardt Bold" w:eastAsia="Theinhardt Bold"/>
          <w:b/>
          <w:bCs/>
          <w:color w:val="231F20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installations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d’une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surface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totale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926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génèrent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ensemble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71’500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L’une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132</w:t>
      </w:r>
      <w:r>
        <w:rPr>
          <w:rFonts w:ascii="Theinhardt Bold" w:hAnsi="Theinhardt Bold" w:cs="Theinhardt Bold" w:eastAsia="Theinhardt Bold"/>
          <w:b/>
          <w:bCs/>
          <w:color w:val="231F20"/>
          <w:spacing w:val="8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parfaitement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intégrée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15%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5’135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façade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fournit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62’500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S’y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ajoutent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issus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seconde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installation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toit.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assure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ainsi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une autoproduction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11%.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40" w:right="760"/>
          <w:cols w:num="2" w:equalWidth="0">
            <w:col w:w="2544" w:space="130"/>
            <w:col w:w="8036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8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3"/>
          <w:sz w:val="40"/>
        </w:rPr>
        <w:t>Résidence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Silo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Bleu,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1020 </w:t>
      </w:r>
      <w:r>
        <w:rPr>
          <w:rFonts w:ascii="Theinhardt Black" w:hAnsi="Theinhardt Black"/>
          <w:b/>
          <w:color w:val="0067B1"/>
          <w:spacing w:val="4"/>
          <w:sz w:val="40"/>
        </w:rPr>
        <w:t>Renens/</w:t>
      </w:r>
      <w:r>
        <w:rPr>
          <w:rFonts w:ascii="Theinhardt Black" w:hAnsi="Theinhardt Black"/>
          <w:b/>
          <w:color w:val="0067B1"/>
          <w:spacing w:val="-54"/>
          <w:sz w:val="40"/>
        </w:rPr>
        <w:t> </w:t>
      </w:r>
      <w:r>
        <w:rPr>
          <w:rFonts w:ascii="Theinhardt Black" w:hAnsi="Theinhardt Black"/>
          <w:b/>
          <w:color w:val="0067B1"/>
          <w:spacing w:val="3"/>
          <w:sz w:val="40"/>
        </w:rPr>
        <w:t>VD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40" w:right="76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résidence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étudiants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Silo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tuée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centre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Renens.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L’immeuble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étages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abrite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273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logements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loyer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aborda-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ble.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Doté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d’une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bonne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isolation,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d’une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venti-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lation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double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flux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ainsi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systèmes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récupération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chaleur</w:t>
      </w:r>
      <w:r>
        <w:rPr>
          <w:color w:val="231F20"/>
          <w:spacing w:val="8"/>
        </w:rPr>
        <w:t> </w:t>
      </w:r>
      <w:r>
        <w:rPr>
          <w:color w:val="231F20"/>
        </w:rPr>
        <w:t>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gestion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façade,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l’installation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132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kW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intègre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modules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solaires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monocristallins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haute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per-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formance.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D’après</w:t>
      </w:r>
      <w:r>
        <w:rPr>
          <w:color w:val="231F20"/>
        </w:rPr>
        <w:t> </w:t>
      </w:r>
      <w:r>
        <w:rPr>
          <w:color w:val="231F20"/>
          <w:spacing w:val="-3"/>
        </w:rPr>
        <w:t>l’OFEN,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les</w:t>
      </w:r>
      <w:r>
        <w:rPr>
          <w:color w:val="231F20"/>
        </w:rPr>
        <w:t> </w:t>
      </w:r>
      <w:r>
        <w:rPr>
          <w:color w:val="231F20"/>
          <w:spacing w:val="-2"/>
        </w:rPr>
        <w:t>immeubles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25%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fenêtres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permettraient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ré-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duire</w:t>
      </w:r>
      <w:r>
        <w:rPr>
          <w:color w:val="231F20"/>
          <w:spacing w:val="21"/>
        </w:rPr>
        <w:t> </w:t>
      </w:r>
      <w:r>
        <w:rPr>
          <w:color w:val="231F20"/>
        </w:rPr>
        <w:t>à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l’avenir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jusqu’à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80%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heures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surchauffe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façades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sud,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39"/>
        </w:rPr>
        <w:t> </w:t>
      </w:r>
      <w:r>
        <w:rPr>
          <w:color w:val="231F20"/>
        </w:rPr>
        <w:t>et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ouest,</w:t>
      </w:r>
      <w:r>
        <w:rPr/>
      </w:r>
    </w:p>
    <w:p>
      <w:pPr>
        <w:spacing w:before="91"/>
        <w:ind w:left="10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Isolation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tabs>
          <w:tab w:pos="1197" w:val="left" w:leader="none"/>
          <w:tab w:pos="2665" w:val="left" w:leader="none"/>
        </w:tabs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Mur: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Valeur U:</w:t>
        <w:tab/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97" w:val="left" w:leader="none"/>
          <w:tab w:pos="2643" w:val="left" w:leader="none"/>
        </w:tabs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Toit: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Valeur U:</w:t>
        <w:tab/>
        <w:t>0.09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93" w:val="left" w:leader="none"/>
          <w:tab w:pos="2642" w:val="left" w:leader="none"/>
        </w:tabs>
        <w:spacing w:line="207" w:lineRule="auto" w:before="5"/>
        <w:ind w:left="108" w:right="16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Sol:</w:t>
        <w:tab/>
      </w:r>
      <w:r>
        <w:rPr>
          <w:rFonts w:ascii="Theinhardt Regular" w:hAnsi="Theinhardt Regular"/>
          <w:color w:val="231F20"/>
          <w:sz w:val="14"/>
        </w:rPr>
        <w:t>20 </w:t>
      </w:r>
      <w:r>
        <w:rPr>
          <w:rFonts w:ascii="Theinhardt Regular" w:hAnsi="Theinhardt Regular"/>
          <w:color w:val="231F20"/>
          <w:spacing w:val="1"/>
          <w:sz w:val="14"/>
        </w:rPr>
        <w:t>cm</w:t>
      </w:r>
      <w:r>
        <w:rPr>
          <w:rFonts w:ascii="Theinhardt Regular" w:hAnsi="Theinhardt Regular"/>
          <w:color w:val="231F20"/>
          <w:sz w:val="14"/>
        </w:rPr>
        <w:t>  </w:t>
      </w:r>
      <w:r>
        <w:rPr>
          <w:rFonts w:ascii="Theinhardt Regular" w:hAnsi="Theinhardt Regular"/>
          <w:color w:val="231F20"/>
          <w:spacing w:val="14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Valeur U:</w:t>
        <w:tab/>
      </w:r>
      <w:r>
        <w:rPr>
          <w:rFonts w:ascii="Theinhardt Regular" w:hAnsi="Theinhardt Regular"/>
          <w:color w:val="231F20"/>
          <w:spacing w:val="-5"/>
          <w:sz w:val="14"/>
        </w:rPr>
        <w:t>0.15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color w:val="231F20"/>
          <w:spacing w:val="27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Fênetre:</w:t>
      </w:r>
      <w:r>
        <w:rPr>
          <w:rFonts w:ascii="Theinhardt Regular" w:hAnsi="Theinhardt Regular"/>
          <w:color w:val="231F20"/>
          <w:sz w:val="14"/>
        </w:rPr>
        <w:t>   </w:t>
      </w:r>
      <w:r>
        <w:rPr>
          <w:rFonts w:ascii="Theinhardt Regular" w:hAnsi="Theinhardt Regular"/>
          <w:color w:val="231F20"/>
          <w:spacing w:val="1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triple-vitrage</w:t>
      </w:r>
      <w:r>
        <w:rPr>
          <w:rFonts w:ascii="Theinhardt Regular" w:hAnsi="Theinhardt Regular"/>
          <w:color w:val="231F20"/>
          <w:sz w:val="14"/>
        </w:rPr>
        <w:t>  </w:t>
      </w:r>
      <w:r>
        <w:rPr>
          <w:rFonts w:ascii="Theinhardt Regular" w:hAnsi="Theinhardt Regular"/>
          <w:color w:val="231F20"/>
          <w:spacing w:val="14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Valeur U:</w:t>
        <w:tab/>
        <w:t>0.90</w:t>
      </w:r>
      <w:r>
        <w:rPr>
          <w:rFonts w:ascii="Theinhardt Regular" w:hAnsi="Theinhardt Regular"/>
          <w:color w:val="231F20"/>
          <w:spacing w:val="1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sz w:val="14"/>
        </w:rPr>
      </w:r>
    </w:p>
    <w:p>
      <w:pPr>
        <w:spacing w:before="38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Besoin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énergie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40" w:right="760"/>
          <w:cols w:num="3" w:equalWidth="0">
            <w:col w:w="3454" w:space="118"/>
            <w:col w:w="3465" w:space="106"/>
            <w:col w:w="3567"/>
          </w:cols>
        </w:sectPr>
      </w:pPr>
    </w:p>
    <w:p>
      <w:pPr>
        <w:pStyle w:val="BodyText"/>
        <w:spacing w:line="130" w:lineRule="exact"/>
        <w:ind w:right="0"/>
        <w:jc w:val="left"/>
      </w:pPr>
      <w:r>
        <w:rPr>
          <w:color w:val="231F20"/>
          <w:spacing w:val="-3"/>
        </w:rPr>
        <w:t>l’énergie,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nouveau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bâtiment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Minergie-P</w:t>
      </w:r>
      <w:r>
        <w:rPr/>
      </w:r>
    </w:p>
    <w:p>
      <w:pPr>
        <w:pStyle w:val="BodyText"/>
        <w:spacing w:line="130" w:lineRule="exact"/>
        <w:ind w:right="0"/>
        <w:jc w:val="left"/>
      </w:pPr>
      <w:r>
        <w:rPr/>
        <w:br w:type="column"/>
      </w:r>
      <w:r>
        <w:rPr>
          <w:color w:val="231F20"/>
          <w:spacing w:val="-2"/>
        </w:rPr>
        <w:t>jusqu’à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20%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besoins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chauffage</w:t>
      </w:r>
      <w:r>
        <w:rPr>
          <w:color w:val="231F20"/>
          <w:spacing w:val="37"/>
        </w:rPr>
        <w:t> </w:t>
      </w:r>
      <w:r>
        <w:rPr>
          <w:color w:val="231F20"/>
        </w:rPr>
        <w:t>et</w:t>
      </w:r>
      <w:r>
        <w:rPr/>
      </w:r>
    </w:p>
    <w:p>
      <w:pPr>
        <w:spacing w:line="134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10’043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tabs>
          <w:tab w:pos="944" w:val="left" w:leader="none"/>
          <w:tab w:pos="1406" w:val="left" w:leader="none"/>
        </w:tabs>
        <w:spacing w:line="134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40" w:right="760"/>
          <w:cols w:num="4" w:equalWidth="0">
            <w:col w:w="3454" w:space="117"/>
            <w:col w:w="3454" w:space="117"/>
            <w:col w:w="1095" w:space="492"/>
            <w:col w:w="1981"/>
          </w:cols>
        </w:sectPr>
      </w:pPr>
    </w:p>
    <w:p>
      <w:pPr>
        <w:pStyle w:val="BodyText"/>
        <w:spacing w:line="230" w:lineRule="exact" w:before="90"/>
        <w:ind w:right="0"/>
        <w:jc w:val="both"/>
      </w:pPr>
      <w:r>
        <w:rPr>
          <w:color w:val="231F20"/>
          <w:spacing w:val="-2"/>
        </w:rPr>
        <w:t>consomme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seulement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658’000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kWh/a.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Les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installations</w:t>
      </w:r>
      <w:r>
        <w:rPr>
          <w:color w:val="231F20"/>
          <w:spacing w:val="19"/>
        </w:rPr>
        <w:t> </w:t>
      </w:r>
      <w:r>
        <w:rPr>
          <w:color w:val="231F20"/>
        </w:rPr>
        <w:t>PV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placées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façade</w:t>
      </w:r>
      <w:r>
        <w:rPr>
          <w:color w:val="231F20"/>
          <w:spacing w:val="19"/>
        </w:rPr>
        <w:t> </w:t>
      </w:r>
      <w:r>
        <w:rPr>
          <w:color w:val="231F20"/>
        </w:rPr>
        <w:t>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toit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contribuent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11%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71’500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kWh/a.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Silo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Bleu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exemple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façon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d’intégrer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esthétiquement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instal-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lation</w:t>
      </w:r>
      <w:r>
        <w:rPr>
          <w:color w:val="231F20"/>
          <w:spacing w:val="37"/>
        </w:rPr>
        <w:t> </w:t>
      </w:r>
      <w:r>
        <w:rPr>
          <w:color w:val="231F20"/>
        </w:rPr>
        <w:t>PV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l’enveloppe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d’un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bâtiment,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même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façade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nord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n’est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partielle-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utilisée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produire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courant</w:t>
      </w:r>
      <w:r>
        <w:rPr>
          <w:color w:val="231F20"/>
          <w:spacing w:val="6"/>
        </w:rPr>
        <w:t> </w:t>
      </w:r>
      <w:r>
        <w:rPr>
          <w:color w:val="231F20"/>
        </w:rPr>
        <w:t>vert.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Composée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cellules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couches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minces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alliage</w:t>
      </w:r>
      <w:r>
        <w:rPr>
          <w:color w:val="231F20"/>
        </w:rPr>
        <w:t> </w:t>
      </w:r>
      <w:r>
        <w:rPr>
          <w:color w:val="231F20"/>
          <w:spacing w:val="-1"/>
        </w:rPr>
        <w:t>CGIS</w:t>
      </w:r>
      <w:r>
        <w:rPr>
          <w:color w:val="231F20"/>
        </w:rPr>
        <w:t> </w:t>
      </w:r>
      <w:r>
        <w:rPr>
          <w:color w:val="231F20"/>
          <w:spacing w:val="-2"/>
        </w:rPr>
        <w:t>(cuivre,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indium,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gallium</w:t>
      </w:r>
      <w:r>
        <w:rPr>
          <w:color w:val="231F20"/>
        </w:rPr>
        <w:t> et </w:t>
      </w:r>
      <w:r>
        <w:rPr>
          <w:color w:val="231F20"/>
          <w:spacing w:val="-2"/>
        </w:rPr>
        <w:t>sélé-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nium)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contenant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métaux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lourds,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l’installation</w:t>
      </w:r>
      <w:r>
        <w:rPr>
          <w:color w:val="231F20"/>
          <w:spacing w:val="13"/>
        </w:rPr>
        <w:t> </w:t>
      </w:r>
      <w:r>
        <w:rPr>
          <w:color w:val="231F20"/>
        </w:rPr>
        <w:t>PV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semi-transparente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8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kW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placée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toit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génère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9’000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kWh/a.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</w:t>
      </w:r>
      <w:r>
        <w:rPr/>
      </w:r>
    </w:p>
    <w:p>
      <w:pPr>
        <w:pStyle w:val="BodyText"/>
        <w:spacing w:line="230" w:lineRule="exact" w:before="90"/>
        <w:ind w:right="0"/>
        <w:jc w:val="both"/>
      </w:pPr>
      <w:r>
        <w:rPr/>
        <w:br w:type="column"/>
      </w:r>
      <w:r>
        <w:rPr>
          <w:color w:val="231F20"/>
          <w:spacing w:val="-2"/>
        </w:rPr>
        <w:t>jusqu’à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environ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50%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besoins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climati-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sation.</w:t>
      </w:r>
      <w:r>
        <w:rPr>
          <w:color w:val="231F20"/>
          <w:spacing w:val="-1"/>
          <w:position w:val="6"/>
          <w:sz w:val="10"/>
          <w:szCs w:val="10"/>
        </w:rPr>
        <w:t>1</w:t>
      </w:r>
      <w:r>
        <w:rPr>
          <w:color w:val="231F20"/>
          <w:spacing w:val="19"/>
          <w:position w:val="6"/>
          <w:sz w:val="10"/>
          <w:szCs w:val="10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recommandations </w:t>
      </w:r>
      <w:r>
        <w:rPr>
          <w:color w:val="231F20"/>
          <w:spacing w:val="-1"/>
        </w:rPr>
        <w:t>climatiques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l’OFEN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étaient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mises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œuvre,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Silo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Bleu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pourrait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produire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493’000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installation</w:t>
      </w:r>
      <w:r>
        <w:rPr>
          <w:color w:val="231F20"/>
          <w:spacing w:val="29"/>
        </w:rPr>
        <w:t> </w:t>
      </w:r>
      <w:r>
        <w:rPr>
          <w:color w:val="231F20"/>
        </w:rPr>
        <w:t>PV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recouvrant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toutelasurfacedelafaçade.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2"/>
        </w:rPr>
        <w:t>L’autoproduction</w:t>
      </w:r>
      <w:r>
        <w:rPr>
          <w:color w:val="231F20"/>
          <w:spacing w:val="73"/>
        </w:rPr>
        <w:t> </w:t>
      </w:r>
      <w:r>
        <w:rPr>
          <w:color w:val="231F20"/>
          <w:spacing w:val="-2"/>
        </w:rPr>
        <w:t>serait </w:t>
      </w:r>
      <w:r>
        <w:rPr>
          <w:color w:val="231F20"/>
          <w:spacing w:val="-1"/>
        </w:rPr>
        <w:t>alors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75%.</w:t>
      </w:r>
      <w:r>
        <w:rPr/>
      </w:r>
    </w:p>
    <w:p>
      <w:pPr>
        <w:spacing w:before="91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position w:val="5"/>
          <w:sz w:val="8"/>
        </w:rPr>
        <w:t>1</w:t>
      </w:r>
      <w:r>
        <w:rPr>
          <w:rFonts w:ascii="Theinhardt Regular"/>
          <w:color w:val="231F20"/>
          <w:spacing w:val="10"/>
          <w:position w:val="5"/>
          <w:sz w:val="8"/>
        </w:rPr>
        <w:t> </w:t>
      </w:r>
      <w:r>
        <w:rPr>
          <w:rFonts w:ascii="Theinhardt Regular"/>
          <w:color w:val="231F20"/>
          <w:sz w:val="14"/>
        </w:rPr>
        <w:t>Rapport final ClimaBau 29.12.2017,</w:t>
      </w:r>
      <w:r>
        <w:rPr>
          <w:rFonts w:ascii="Theinhardt Regular"/>
          <w:color w:val="231F20"/>
          <w:spacing w:val="-9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p.</w:t>
      </w:r>
      <w:r>
        <w:rPr>
          <w:rFonts w:ascii="Theinhardt Regular"/>
          <w:color w:val="231F20"/>
          <w:spacing w:val="-9"/>
          <w:sz w:val="14"/>
        </w:rPr>
        <w:t> </w:t>
      </w:r>
      <w:r>
        <w:rPr>
          <w:rFonts w:ascii="Theinhardt Regular"/>
          <w:color w:val="231F20"/>
          <w:sz w:val="14"/>
        </w:rPr>
        <w:t>111/113</w:t>
      </w:r>
      <w:r>
        <w:rPr>
          <w:rFonts w:ascii="Theinhardt Regular"/>
          <w:sz w:val="14"/>
        </w:rPr>
      </w:r>
    </w:p>
    <w:p>
      <w:pPr>
        <w:spacing w:line="160" w:lineRule="exact" w:before="96"/>
        <w:ind w:left="108" w:right="46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P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V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-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F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ç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de: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5’135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16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x 0,75%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≈ 3’850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16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surface PV x100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≈ 385’000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(Prix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Solaire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Suisse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2017,</w:t>
      </w:r>
      <w:r>
        <w:rPr>
          <w:rFonts w:ascii="Theinhardt Regular" w:hAnsi="Theinhardt Regular" w:cs="Theinhardt Regular" w:eastAsia="Theinhardt Regular"/>
          <w:color w:val="231F20"/>
          <w:spacing w:val="-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p.</w:t>
      </w:r>
      <w:r>
        <w:rPr>
          <w:rFonts w:ascii="Theinhardt Regular" w:hAnsi="Theinhardt Regular" w:cs="Theinhardt Regular" w:eastAsia="Theinhardt Regular"/>
          <w:color w:val="231F20"/>
          <w:spacing w:val="-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53 +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p.</w:t>
      </w:r>
      <w:r>
        <w:rPr>
          <w:rFonts w:ascii="Theinhardt Regular" w:hAnsi="Theinhardt Regular" w:cs="Theinhardt Regular" w:eastAsia="Theinhardt Regular"/>
          <w:color w:val="231F20"/>
          <w:spacing w:val="-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56)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77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PV-Toit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≈540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x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200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≈ 108’000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74" w:val="left" w:leader="none"/>
          <w:tab w:pos="2495" w:val="left" w:leader="none"/>
          <w:tab w:pos="2868" w:val="left" w:leader="none"/>
        </w:tabs>
        <w:spacing w:line="142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Eau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chaude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sanitaire: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20.8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32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209’219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4" w:val="left" w:leader="none"/>
          <w:tab w:pos="2495" w:val="left" w:leader="none"/>
          <w:tab w:pos="2863" w:val="left" w:leader="none"/>
        </w:tabs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Besoin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chaleur: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15.0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23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150’638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6" w:val="left" w:leader="none"/>
          <w:tab w:pos="2492" w:val="left" w:leader="none"/>
          <w:tab w:pos="2868" w:val="left" w:leader="none"/>
        </w:tabs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29.7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45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298’184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66" w:val="left" w:leader="none"/>
        </w:tabs>
        <w:spacing w:line="207" w:lineRule="auto" w:before="5"/>
        <w:ind w:left="108" w:right="16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énerg.: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65.5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658’041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énergétique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400"/>
        <w:gridCol w:w="418"/>
        <w:gridCol w:w="758"/>
        <w:gridCol w:w="430"/>
        <w:gridCol w:w="625"/>
      </w:tblGrid>
      <w:tr>
        <w:trPr>
          <w:trHeight w:val="128" w:hRule="exact"/>
        </w:trPr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Autoprod.: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4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-1"/>
                <w:position w:val="-4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3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252" w:hRule="exact"/>
        </w:trPr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auto"/>
              <w:ind w:left="54" w:right="1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-1"/>
                <w:sz w:val="14"/>
              </w:rPr>
              <w:t>PV-Toit.:</w:t>
            </w:r>
            <w:r>
              <w:rPr>
                <w:rFonts w:ascii="Theinhardt Regular" w:hAnsi="Theinhardt Regular"/>
                <w:color w:val="231F20"/>
                <w:spacing w:val="26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4"/>
                <w:sz w:val="14"/>
              </w:rPr>
              <w:t>P</w:t>
            </w:r>
            <w:r>
              <w:rPr>
                <w:rFonts w:ascii="Theinhardt Regular" w:hAnsi="Theinhardt Regular"/>
                <w:color w:val="231F20"/>
                <w:spacing w:val="-2"/>
                <w:sz w:val="14"/>
              </w:rPr>
              <w:t>V</w:t>
            </w:r>
            <w:r>
              <w:rPr>
                <w:rFonts w:ascii="Theinhardt Regular" w:hAnsi="Theinhardt Regular"/>
                <w:color w:val="231F20"/>
                <w:spacing w:val="4"/>
                <w:sz w:val="14"/>
              </w:rPr>
              <w:t>-</w:t>
            </w:r>
            <w:r>
              <w:rPr>
                <w:rFonts w:ascii="Theinhardt Regular" w:hAnsi="Theinhardt Regular"/>
                <w:color w:val="231F20"/>
                <w:spacing w:val="-5"/>
                <w:sz w:val="14"/>
              </w:rPr>
              <w:t>F</w:t>
            </w:r>
            <w:r>
              <w:rPr>
                <w:rFonts w:ascii="Theinhardt Regular" w:hAns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ç</w:t>
            </w:r>
            <w:r>
              <w:rPr>
                <w:rFonts w:ascii="Theinhardt Regular" w:hAns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 w:hAnsi="Theinhardt Regular"/>
                <w:color w:val="231F20"/>
                <w:sz w:val="14"/>
              </w:rPr>
              <w:t>de: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139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00" w:lineRule="exact"/>
              <w:ind w:left="5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926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9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8.2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00" w:lineRule="exact"/>
              <w:ind w:left="-7" w:right="54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131.6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3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65.0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00" w:lineRule="exact"/>
              <w:ind w:left="33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67.5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2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00" w:lineRule="exact"/>
              <w:ind w:right="68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8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9’020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  <w:p>
            <w:pPr>
              <w:pStyle w:val="TableParagraph"/>
              <w:spacing w:line="100" w:lineRule="exact"/>
              <w:ind w:left="1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62’520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</w:tbl>
    <w:p>
      <w:pPr>
        <w:tabs>
          <w:tab w:pos="2503" w:val="left" w:leader="none"/>
          <w:tab w:pos="2938" w:val="left" w:leader="none"/>
        </w:tabs>
        <w:spacing w:line="172" w:lineRule="exact" w:before="48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4"/>
          <w:szCs w:val="14"/>
        </w:rPr>
        <w:t>11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71’540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96" w:val="left" w:leader="none"/>
        </w:tabs>
        <w:spacing w:line="172" w:lineRule="exact" w:before="0"/>
        <w:ind w:left="108" w:right="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color w:val="231F20"/>
          <w:spacing w:val="1"/>
          <w:sz w:val="14"/>
          <w:szCs w:val="14"/>
        </w:rPr>
        <w:t>Potentiel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1"/>
          <w:sz w:val="14"/>
          <w:szCs w:val="14"/>
        </w:rPr>
        <w:t>solaire:</w:t>
        <w:tab/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2"/>
          <w:sz w:val="14"/>
          <w:szCs w:val="14"/>
        </w:rPr>
        <w:t>75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  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17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493’000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tbl>
      <w:tblPr>
        <w:tblW w:w="0" w:type="auto"/>
        <w:jc w:val="left"/>
        <w:tblInd w:w="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399"/>
        <w:gridCol w:w="653"/>
      </w:tblGrid>
      <w:tr>
        <w:trPr>
          <w:trHeight w:val="190" w:hRule="exact"/>
        </w:trPr>
        <w:tc>
          <w:tcPr>
            <w:tcW w:w="2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Bilan</w:t>
            </w:r>
            <w:r>
              <w:rPr>
                <w:rFonts w:ascii="Theinhardt Bold" w:hAnsi="Theinhardt Bold"/>
                <w:b/>
                <w:color w:val="231F20"/>
                <w:spacing w:val="-2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énergétique</w:t>
            </w:r>
            <w:r>
              <w:rPr>
                <w:rFonts w:ascii="Theinhardt Bold" w:hAnsi="Theinhardt Bold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(énergie</w:t>
            </w:r>
            <w:r>
              <w:rPr>
                <w:rFonts w:ascii="Theinhardt Bold" w:hAnsi="Theinhardt Bold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finale)</w:t>
            </w:r>
            <w:r>
              <w:rPr>
                <w:rFonts w:ascii="Theinhardt Bold" w:hAnsi="Theinhardt Bold"/>
                <w:sz w:val="14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1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1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28" w:hRule="exact"/>
        </w:trPr>
        <w:tc>
          <w:tcPr>
            <w:tcW w:w="2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Alimentation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énergétique:</w:t>
            </w:r>
            <w:r>
              <w:rPr>
                <w:rFonts w:ascii="Theinhardt Bold" w:hAnsi="Theinhardt Bold"/>
                <w:sz w:val="14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0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9"/>
                <w:sz w:val="14"/>
              </w:rPr>
              <w:t>11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3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71’540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412" w:val="left" w:leader="none"/>
          <w:tab w:pos="2864" w:val="left" w:leader="none"/>
        </w:tabs>
        <w:spacing w:line="172" w:lineRule="exact" w:before="33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énerg.: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658’041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91" w:val="left" w:leader="none"/>
        </w:tabs>
        <w:spacing w:line="172" w:lineRule="exact" w:before="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Apport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d'énergie: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586’501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8" w:right="7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Confirmé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par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Service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intercommunal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l'éléctri-</w:t>
      </w:r>
      <w:r>
        <w:rPr>
          <w:rFonts w:ascii="Theinhardt Bold" w:hAnsi="Theinhardt Bold"/>
          <w:b/>
          <w:color w:val="231F20"/>
          <w:spacing w:val="4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cité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er</w:t>
      </w:r>
      <w:r>
        <w:rPr>
          <w:rFonts w:ascii="Theinhardt Regular" w:hAnsi="Theinhardt Regular"/>
          <w:color w:val="231F20"/>
          <w:spacing w:val="16"/>
          <w:position w:val="5"/>
          <w:sz w:val="8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juliette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2019,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Denis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Bezençon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631</w:t>
      </w:r>
      <w:r>
        <w:rPr>
          <w:rFonts w:ascii="Theinhardt Regular" w:hAnsi="Theinhardt Regular"/>
          <w:color w:val="231F20"/>
          <w:sz w:val="14"/>
        </w:rPr>
        <w:t> 55 </w:t>
      </w:r>
      <w:r>
        <w:rPr>
          <w:rFonts w:ascii="Theinhardt Regular" w:hAnsi="Theinhardt Regular"/>
          <w:color w:val="231F20"/>
          <w:spacing w:val="-1"/>
          <w:sz w:val="14"/>
        </w:rPr>
        <w:t>25</w:t>
      </w:r>
      <w:r>
        <w:rPr>
          <w:rFonts w:ascii="Theinhardt Regular" w:hAnsi="Theinhardt Regular"/>
          <w:sz w:val="14"/>
        </w:rPr>
      </w:r>
    </w:p>
    <w:p>
      <w:pPr>
        <w:spacing w:before="88"/>
        <w:ind w:left="10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color w:val="231F20"/>
          <w:spacing w:val="1"/>
          <w:sz w:val="14"/>
        </w:rPr>
        <w:t>Personnes</w:t>
      </w:r>
      <w:r>
        <w:rPr>
          <w:rFonts w:ascii="Theinhardt Black" w:hAnsi="Theinhardt Black"/>
          <w:b/>
          <w:color w:val="231F20"/>
          <w:sz w:val="14"/>
        </w:rPr>
        <w:t> impliquées: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08" w:right="7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d’ouvrage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adresse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Proxiland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,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+41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26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8"/>
          <w:sz w:val="14"/>
          <w:szCs w:val="14"/>
        </w:rPr>
        <w:t>411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14,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pour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Basellandschaftliche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Pensionskasse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77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Silo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Bleu,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Rue</w:t>
      </w:r>
      <w:r>
        <w:rPr>
          <w:rFonts w:ascii="Theinhardt Regular"/>
          <w:color w:val="231F20"/>
          <w:sz w:val="14"/>
        </w:rPr>
        <w:t> du </w:t>
      </w:r>
      <w:r>
        <w:rPr>
          <w:rFonts w:ascii="Theinhardt Regular"/>
          <w:color w:val="231F20"/>
          <w:spacing w:val="1"/>
          <w:sz w:val="14"/>
        </w:rPr>
        <w:t>Silo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5,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1020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Renens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Architectes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8" w:right="86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EPURE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Architecture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Urbanisme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Place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Saint-Etienne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1510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Moudon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Intégrateur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PV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8" w:right="11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Solarwall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SA</w:t>
      </w:r>
      <w:hyperlink r:id="rId5">
        <w:r>
          <w:rPr>
            <w:rFonts w:ascii="Theinhardt Regular"/>
            <w:color w:val="231F20"/>
            <w:spacing w:val="2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www.solarwall.ch</w:t>
        </w:r>
      </w:hyperlink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Route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Rennes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1c,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Bussigny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Constructeur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façades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Progin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Meta</w:t>
      </w:r>
      <w:hyperlink r:id="rId6">
        <w:r>
          <w:rPr>
            <w:rFonts w:ascii="Theinhardt Regular"/>
            <w:color w:val="231F20"/>
            <w:spacing w:val="1"/>
            <w:sz w:val="14"/>
          </w:rPr>
          <w:t>l,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www.progin.ch,</w:t>
        </w:r>
      </w:hyperlink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1630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Bulle</w:t>
      </w:r>
      <w:r>
        <w:rPr>
          <w:rFonts w:asci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40" w:right="760"/>
          <w:cols w:num="3" w:equalWidth="0">
            <w:col w:w="3465" w:space="107"/>
            <w:col w:w="3454" w:space="118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1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7"/>
          <w:szCs w:val="7"/>
        </w:rPr>
      </w:pPr>
    </w:p>
    <w:p>
      <w:pPr>
        <w:spacing w:line="200" w:lineRule="atLeast"/>
        <w:ind w:left="725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612" cy="151180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61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1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7.433001pt;margin-top:-206.345108pt;width:345.827pt;height:206.221pt;mso-position-horizontal-relative:page;mso-position-vertical-relative:paragraph;z-index:1192" type="#_x0000_t75" stroked="false">
            <v:imagedata r:id="rId8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40" w:right="760"/>
        </w:sectPr>
      </w:pPr>
    </w:p>
    <w:p>
      <w:pPr>
        <w:numPr>
          <w:ilvl w:val="0"/>
          <w:numId w:val="1"/>
        </w:numPr>
        <w:tabs>
          <w:tab w:pos="336" w:val="left" w:leader="none"/>
        </w:tabs>
        <w:spacing w:line="160" w:lineRule="exact" w:before="77"/>
        <w:ind w:left="335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résidence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Silo Bleu abrite 273 logements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pour étudiants.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Les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deux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installations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(toit et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façade)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génèrent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ensemble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71’500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6" w:val="left" w:leader="none"/>
        </w:tabs>
        <w:spacing w:line="160" w:lineRule="exact" w:before="77"/>
        <w:ind w:left="335" w:right="418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installation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PV-façade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est parfaitement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intégrée et produit 62’500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40" w:right="760"/>
          <w:cols w:num="2" w:equalWidth="0">
            <w:col w:w="3401" w:space="171"/>
            <w:col w:w="713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7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80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5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8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olarwall.ch/" TargetMode="External"/><Relationship Id="rId6" Type="http://schemas.openxmlformats.org/officeDocument/2006/relationships/hyperlink" Target="http://www.progin.ch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2019-10-04T10:13:28Z</dcterms:created>
  <dcterms:modified xsi:type="dcterms:W3CDTF">2019-10-04T10:13:28Z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