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3" w:val="left" w:leader="none"/>
        </w:tabs>
        <w:spacing w:line="230" w:lineRule="exact" w:before="28"/>
        <w:ind w:left="114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shape style="position:absolute;margin-left:28.347pt;margin-top:58.079926pt;width:82.204400pt;height:60.2043pt;mso-position-horizontal-relative:page;mso-position-vertical-relative:paragraph;z-index:-6136" type="#_x0000_t75" stroked="false">
            <v:imagedata r:id="rId5" o:title=""/>
          </v:shape>
        </w:pict>
      </w:r>
      <w:r>
        <w:rPr/>
        <w:pict>
          <v:group style="position:absolute;margin-left:28.913401pt;margin-top:13.647326pt;width:.1pt;height:.1pt;mso-position-horizontal-relative:page;mso-position-vertical-relative:paragraph;z-index:-6112" coordorigin="578,273" coordsize="2,2">
            <v:shape style="position:absolute;left:578;top:273;width:2;height:2" coordorigin="578,273" coordsize="0,0" path="m578,273l57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086395pt;margin-top:13.647326pt;width:.1pt;height:.1pt;mso-position-horizontal-relative:page;mso-position-vertical-relative:paragraph;z-index:1144" coordorigin="3022,273" coordsize="2,2">
            <v:shape style="position:absolute;left:3022;top:273;width:2;height:2" coordorigin="3022,273" coordsize="0,0" path="m3022,273l3022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913401pt;margin-top:25.147326pt;width:.1pt;height:.1pt;mso-position-horizontal-relative:page;mso-position-vertical-relative:paragraph;z-index:-6064" coordorigin="578,503" coordsize="2,2">
            <v:shape style="position:absolute;left:578;top:503;width:2;height:2" coordorigin="578,503" coordsize="0,0" path="m578,503l57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086395pt;margin-top:25.147326pt;width:.1pt;height:.1pt;mso-position-horizontal-relative:page;mso-position-vertical-relative:paragraph;z-index:1192" coordorigin="3022,503" coordsize="2,2">
            <v:shape style="position:absolute;left:3022;top:503;width:2;height:2" coordorigin="3022,503" coordsize="0,0" path="m3022,503l3022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z w:val="18"/>
        </w:rPr>
        <w:t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Neubauten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 w:hAnsi="Theinhardt Heavy"/>
          <w:b/>
          <w:color w:val="231F20"/>
          <w:sz w:val="18"/>
        </w:rPr>
      </w:r>
      <w:r>
        <w:rPr>
          <w:rFonts w:ascii="Theinhardt Heavy" w:hAnsi="Theinhardt Heavy"/>
          <w:b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2019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Norman </w:t>
      </w:r>
      <w:r>
        <w:rPr>
          <w:rFonts w:ascii="Theinhardt Regular" w:hAnsi="Theinhardt Regular"/>
          <w:color w:val="231F20"/>
          <w:spacing w:val="-1"/>
          <w:sz w:val="18"/>
        </w:rPr>
        <w:t>Foster</w:t>
      </w:r>
      <w:r>
        <w:rPr>
          <w:rFonts w:ascii="Theinhardt Regular" w:hAnsi="Theinhardt Regular"/>
          <w:color w:val="231F20"/>
          <w:sz w:val="18"/>
        </w:rPr>
        <w:t> Solar </w:t>
      </w:r>
      <w:r>
        <w:rPr>
          <w:rFonts w:ascii="Theinhardt Regular" w:hAnsi="Theinhardt Regular"/>
          <w:color w:val="231F20"/>
          <w:spacing w:val="-2"/>
          <w:sz w:val="18"/>
        </w:rPr>
        <w:t>Award-</w:t>
      </w:r>
      <w:r>
        <w:rPr>
          <w:rFonts w:ascii="Theinhardt Regular" w:hAnsi="Theinhardt Regular"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Diplom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Holzbau-Mehrfamilienhaus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(MFH)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Höngg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konsumiert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guter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0C1C23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U-</w:t>
      </w:r>
      <w:r>
        <w:rPr>
          <w:rFonts w:ascii="Theinhardt Bold" w:hAnsi="Theinhardt Bold" w:cs="Theinhardt Bold" w:eastAsia="Theinhardt Bold"/>
          <w:b/>
          <w:bCs/>
          <w:color w:val="0C1C23"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Werten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0.10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bloss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33’200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kWh/a.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Wegweisend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MFH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sorgten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Architekt</w:t>
      </w:r>
      <w:r>
        <w:rPr>
          <w:rFonts w:ascii="Theinhardt Bold" w:hAnsi="Theinhardt Bold" w:cs="Theinhardt Bold" w:eastAsia="Theinhardt Bold"/>
          <w:b/>
          <w:bCs/>
          <w:color w:val="0C1C23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Bau-</w:t>
      </w:r>
      <w:r>
        <w:rPr>
          <w:rFonts w:ascii="Theinhardt Bold" w:hAnsi="Theinhardt Bold" w:cs="Theinhardt Bold" w:eastAsia="Theinhardt Bold"/>
          <w:b/>
          <w:bCs/>
          <w:color w:val="0C1C23"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herrschaft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gesamte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0C1C23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PV-Anlage.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0C1C23"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25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42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Fassadenanlage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0C1C23"/>
          <w:spacing w:val="5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41’900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0C1C23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PlusEnergie-MFH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126%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0C1C23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0C1C23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0C1C23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8’700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können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6</w:t>
      </w:r>
      <w:r>
        <w:rPr>
          <w:rFonts w:ascii="Theinhardt Bold" w:hAnsi="Theinhardt Bold" w:cs="Theinhardt Bold" w:eastAsia="Theinhardt Bold"/>
          <w:b/>
          <w:bCs/>
          <w:color w:val="0C1C23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Elektrofahrzeuge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0C1C23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0C1C23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b/>
          <w:bCs/>
          <w:color w:val="0C1C23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Eine 20 kWh grosse </w:t>
      </w:r>
      <w:r>
        <w:rPr>
          <w:rFonts w:ascii="Theinhardt Bold" w:hAnsi="Theinhardt Bold" w:cs="Theinhardt Bold" w:eastAsia="Theinhardt Bold"/>
          <w:b/>
          <w:bCs/>
          <w:color w:val="0C1C23"/>
          <w:sz w:val="18"/>
          <w:szCs w:val="18"/>
        </w:rPr>
        <w:t>Batterie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 speichert einen</w:t>
      </w:r>
      <w:r>
        <w:rPr>
          <w:rFonts w:ascii="Theinhardt Bold" w:hAnsi="Theinhardt Bold" w:cs="Theinhardt Bold" w:eastAsia="Theinhardt Bold"/>
          <w:b/>
          <w:bCs/>
          <w:color w:val="0C1C23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5"/>
          <w:sz w:val="18"/>
          <w:szCs w:val="18"/>
        </w:rPr>
        <w:t>Teil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 des produzierten Solarstromüberschusses und</w:t>
      </w:r>
      <w:r>
        <w:rPr>
          <w:rFonts w:ascii="Theinhardt Bold" w:hAnsi="Theinhardt Bold" w:cs="Theinhardt Bold" w:eastAsia="Theinhardt Bold"/>
          <w:b/>
          <w:bCs/>
          <w:color w:val="0C1C23"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erhöht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0C1C23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0C1C23"/>
          <w:spacing w:val="-2"/>
          <w:sz w:val="18"/>
          <w:szCs w:val="18"/>
        </w:rPr>
        <w:t> Eigenverbrauch.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54" w:space="125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3"/>
          <w:sz w:val="40"/>
        </w:rPr>
        <w:t>126%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PlusEnergie-MFH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Höngg,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8049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Zürich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1"/>
        <w:spacing w:line="230" w:lineRule="exact" w:before="52"/>
        <w:ind w:right="0"/>
        <w:jc w:val="both"/>
      </w:pPr>
      <w:r>
        <w:rPr>
          <w:color w:val="231F20"/>
        </w:rPr>
        <w:t>Im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Zürcher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Quartier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Höngg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entstand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Ja-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nuar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2019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Mehrfamilienhaus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4"/>
        </w:rPr>
        <w:t> Woh-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nungen,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welches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vorbildliche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Solararchitek-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tur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moderner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Solartechnologie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verbindet.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gesamte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Gebäudehülle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dient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vollflächig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Solarstromgewinnung.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25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kW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starke</w:t>
      </w:r>
      <w:r>
        <w:rPr/>
      </w:r>
    </w:p>
    <w:p>
      <w:pPr>
        <w:pStyle w:val="BodyText"/>
        <w:spacing w:line="230" w:lineRule="exact" w:before="52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3"/>
        </w:rPr>
        <w:t>L’immeuble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six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appartements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construit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janvier</w:t>
      </w:r>
      <w:r>
        <w:rPr>
          <w:color w:val="231F20"/>
          <w:spacing w:val="-7"/>
        </w:rPr>
        <w:t> </w:t>
      </w:r>
      <w:r>
        <w:rPr>
          <w:color w:val="231F20"/>
        </w:rPr>
        <w:t>2019</w:t>
      </w:r>
      <w:r>
        <w:rPr>
          <w:color w:val="231F20"/>
          <w:spacing w:val="-7"/>
        </w:rPr>
        <w:t> </w:t>
      </w:r>
      <w:r>
        <w:rPr>
          <w:color w:val="231F20"/>
        </w:rPr>
        <w:t>dans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quartier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Höngg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Zurich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dédié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au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soleil,</w:t>
      </w:r>
      <w:r>
        <w:rPr>
          <w:color w:val="231F20"/>
          <w:spacing w:val="17"/>
        </w:rPr>
        <w:t> </w:t>
      </w:r>
      <w:r>
        <w:rPr>
          <w:color w:val="231F20"/>
        </w:rPr>
        <w:t>tant</w:t>
      </w:r>
      <w:r>
        <w:rPr>
          <w:color w:val="231F20"/>
          <w:spacing w:val="25"/>
        </w:rPr>
        <w:t> </w:t>
      </w:r>
      <w:r>
        <w:rPr>
          <w:color w:val="231F20"/>
        </w:rPr>
        <w:t>sur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24"/>
        </w:rPr>
        <w:t> </w:t>
      </w:r>
      <w:r>
        <w:rPr>
          <w:color w:val="231F20"/>
        </w:rPr>
        <w:t>plan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architecture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exemplaire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technolo-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gie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mise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œuvre.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totalité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l’enveloppe</w:t>
      </w:r>
      <w:r>
        <w:rPr>
          <w:color w:val="231F20"/>
          <w:spacing w:val="25"/>
        </w:rPr>
        <w:t>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BEP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utilisée</w:t>
      </w:r>
      <w:r>
        <w:rPr>
          <w:color w:val="231F20"/>
          <w:spacing w:val="-14"/>
        </w:rPr>
        <w:t> </w:t>
      </w:r>
      <w:r>
        <w:rPr>
          <w:color w:val="231F20"/>
        </w:rPr>
        <w:t>pour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produire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l’énergie</w:t>
      </w:r>
      <w:r>
        <w:rPr>
          <w:i w:val="0"/>
        </w:rPr>
      </w:r>
    </w:p>
    <w:p>
      <w:pPr>
        <w:spacing w:before="101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939" w:val="left" w:leader="none"/>
          <w:tab w:pos="1794" w:val="left" w:leader="none"/>
          <w:tab w:pos="267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947" w:val="left" w:leader="none"/>
          <w:tab w:pos="1794" w:val="left" w:leader="none"/>
          <w:tab w:pos="2673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6181pt;margin-top:6.840802pt;width:113.5pt;height:18.350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6"/>
                    <w:gridCol w:w="843"/>
                    <w:gridCol w:w="761"/>
                  </w:tblGrid>
                  <w:tr>
                    <w:trPr>
                      <w:trHeight w:val="191" w:hRule="exact"/>
                    </w:trPr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2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26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2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15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5"/>
          <w:sz w:val="14"/>
        </w:rPr>
        <w:t>0.14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2545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0.80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53" w:space="119"/>
            <w:col w:w="3566"/>
          </w:cols>
        </w:sectPr>
      </w:pPr>
    </w:p>
    <w:p>
      <w:pPr>
        <w:pStyle w:val="Heading1"/>
        <w:spacing w:line="140" w:lineRule="exact" w:before="9"/>
        <w:ind w:right="0"/>
        <w:jc w:val="left"/>
      </w:pPr>
      <w:r>
        <w:rPr>
          <w:color w:val="231F20"/>
          <w:spacing w:val="-2"/>
        </w:rPr>
        <w:t>PV-Dachanlage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produziert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24’270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kWh/a</w:t>
      </w:r>
      <w:r>
        <w:rPr/>
      </w:r>
    </w:p>
    <w:p>
      <w:pPr>
        <w:pStyle w:val="BodyText"/>
        <w:spacing w:line="140" w:lineRule="exact" w:before="9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1"/>
        </w:rPr>
        <w:t>solaire.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Une</w:t>
      </w:r>
      <w:r>
        <w:rPr>
          <w:color w:val="231F20"/>
        </w:rPr>
        <w:t> </w:t>
      </w:r>
      <w:r>
        <w:rPr>
          <w:color w:val="231F20"/>
          <w:spacing w:val="-1"/>
        </w:rPr>
        <w:t>installation</w:t>
      </w:r>
      <w:r>
        <w:rPr>
          <w:color w:val="231F20"/>
        </w:rPr>
        <w:t> </w:t>
      </w:r>
      <w:r>
        <w:rPr>
          <w:color w:val="231F20"/>
          <w:spacing w:val="1"/>
        </w:rPr>
        <w:t>PV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</w:rPr>
        <w:t> 25 kW </w:t>
      </w:r>
      <w:r>
        <w:rPr>
          <w:color w:val="231F20"/>
          <w:spacing w:val="-1"/>
        </w:rPr>
        <w:t>placée</w:t>
      </w:r>
      <w:r>
        <w:rPr>
          <w:i w:val="0"/>
        </w:rPr>
      </w:r>
    </w:p>
    <w:p>
      <w:pPr>
        <w:spacing w:line="14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-1"/>
          <w:sz w:val="14"/>
        </w:rPr>
        <w:t>370</w:t>
      </w:r>
      <w:r>
        <w:rPr>
          <w:rFonts w:ascii="Theinhardt Regular"/>
          <w:color w:val="231F20"/>
          <w:sz w:val="14"/>
        </w:rPr>
        <w:t>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17" w:val="left" w:leader="none"/>
          <w:tab w:pos="1396" w:val="left" w:leader="none"/>
        </w:tabs>
        <w:spacing w:line="14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4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4" w:equalWidth="0">
            <w:col w:w="3453" w:space="119"/>
            <w:col w:w="3452" w:space="119"/>
            <w:col w:w="876" w:space="726"/>
            <w:col w:w="1965"/>
          </w:cols>
        </w:sectPr>
      </w:pPr>
    </w:p>
    <w:p>
      <w:pPr>
        <w:pStyle w:val="Heading1"/>
        <w:spacing w:line="230" w:lineRule="exact" w:before="80"/>
        <w:ind w:right="10"/>
        <w:jc w:val="both"/>
      </w:pPr>
      <w:r>
        <w:rPr>
          <w:color w:val="231F20"/>
          <w:spacing w:val="-2"/>
        </w:rPr>
        <w:t>und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eingefärbte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42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kW</w:t>
      </w:r>
      <w:r>
        <w:rPr>
          <w:color w:val="231F20"/>
          <w:spacing w:val="44"/>
        </w:rPr>
        <w:t> </w:t>
      </w:r>
      <w:r>
        <w:rPr>
          <w:color w:val="231F20"/>
          <w:spacing w:val="-3"/>
        </w:rPr>
        <w:t>PV-Fassaden-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anlage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generiert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17’600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kWh/a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rund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66.5%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Vergleich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einer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unverfärbten</w:t>
      </w:r>
      <w:r>
        <w:rPr>
          <w:color w:val="231F20"/>
          <w:spacing w:val="35"/>
        </w:rPr>
        <w:t> </w:t>
      </w:r>
      <w:r>
        <w:rPr>
          <w:color w:val="231F20"/>
          <w:spacing w:val="-3"/>
        </w:rPr>
        <w:t>100%-PV-Leistung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27’100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kWh/a.</w:t>
      </w:r>
      <w:r>
        <w:rPr/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2"/>
          <w:sz w:val="18"/>
        </w:rPr>
        <w:t>Die</w:t>
      </w:r>
      <w:r>
        <w:rPr>
          <w:rFonts w:ascii="Theinhardt Regular" w:hAnsi="Theinhardt Regular"/>
          <w:color w:val="231F20"/>
          <w:spacing w:val="4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monokristallinen</w:t>
      </w:r>
      <w:r>
        <w:rPr>
          <w:rFonts w:ascii="Theinhardt Regular" w:hAnsi="Theinhardt Regular"/>
          <w:color w:val="231F20"/>
          <w:spacing w:val="48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Siliziumzellen</w:t>
      </w:r>
      <w:r>
        <w:rPr>
          <w:rFonts w:ascii="Theinhardt Regular" w:hAnsi="Theinhardt Regular"/>
          <w:color w:val="231F20"/>
          <w:spacing w:val="4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sind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ganzflächig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in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Dach-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und</w:t>
      </w:r>
      <w:r>
        <w:rPr>
          <w:rFonts w:ascii="Theinhardt Regular" w:hAnsi="Theinhardt Regular"/>
          <w:color w:val="231F20"/>
          <w:spacing w:val="-13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Fassadenfläche</w:t>
      </w:r>
      <w:r>
        <w:rPr>
          <w:rFonts w:ascii="Theinhardt Regular" w:hAnsi="Theinhardt Regular"/>
          <w:color w:val="231F20"/>
          <w:spacing w:val="5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integriert.</w:t>
      </w:r>
      <w:r>
        <w:rPr>
          <w:rFonts w:ascii="Theinhardt Regular" w:hAnsi="Theinhardt Regular"/>
          <w:color w:val="231F20"/>
          <w:spacing w:val="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Die</w:t>
      </w:r>
      <w:r>
        <w:rPr>
          <w:rFonts w:ascii="Theinhardt Regular" w:hAnsi="Theinhardt Regular"/>
          <w:color w:val="231F20"/>
          <w:spacing w:val="1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gefärbten</w:t>
      </w:r>
      <w:r>
        <w:rPr>
          <w:rFonts w:ascii="Theinhardt Regular" w:hAnsi="Theinhardt Regular"/>
          <w:color w:val="231F20"/>
          <w:spacing w:val="17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PV-Fassadengläser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führen</w:t>
      </w:r>
      <w:r>
        <w:rPr>
          <w:rFonts w:ascii="Theinhardt Regular" w:hAnsi="Theinhardt Regular"/>
          <w:color w:val="231F20"/>
          <w:spacing w:val="-16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laut</w:t>
      </w:r>
      <w:r>
        <w:rPr>
          <w:rFonts w:ascii="Theinhardt Regular" w:hAnsi="Theinhardt Regular"/>
          <w:color w:val="231F20"/>
          <w:spacing w:val="-1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BFE</w:t>
      </w:r>
      <w:r>
        <w:rPr>
          <w:rFonts w:ascii="Theinhardt Regular" w:hAnsi="Theinhardt Regular"/>
          <w:color w:val="231F20"/>
          <w:spacing w:val="-1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zu</w:t>
      </w:r>
      <w:r>
        <w:rPr>
          <w:rFonts w:ascii="Theinhardt Regular" w:hAnsi="Theinhardt Regular"/>
          <w:color w:val="231F20"/>
          <w:spacing w:val="-16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einer</w:t>
      </w:r>
      <w:r>
        <w:rPr>
          <w:rFonts w:ascii="Theinhardt Regular" w:hAnsi="Theinhardt Regular"/>
          <w:color w:val="231F20"/>
          <w:spacing w:val="-16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PV-Leistungseinbus-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se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von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39%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(Schweiz.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Solarpreis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2017,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S.</w:t>
      </w:r>
      <w:r>
        <w:rPr>
          <w:rFonts w:ascii="Theinhardt Regular" w:hAnsi="Theinhardt Regular"/>
          <w:color w:val="231F20"/>
          <w:spacing w:val="45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84).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vorbildlich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isolierte,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vorfabrizierte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Holz-</w:t>
      </w:r>
      <w:r>
        <w:rPr>
          <w:rFonts w:ascii="Theinhardt Regular" w:hAnsi="Theinhardt Regular" w:cs="Theinhardt Regular" w:eastAsia="Theinhardt Regular"/>
          <w:color w:val="231F20"/>
          <w:spacing w:val="6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bau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benötigt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insgesamt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bloss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33’229</w:t>
      </w:r>
      <w:r>
        <w:rPr>
          <w:rFonts w:ascii="Theinhardt Regular" w:hAnsi="Theinhardt Regular" w:cs="Theinhardt Regular" w:eastAsia="Theinhardt Regular"/>
          <w:color w:val="231F20"/>
          <w:spacing w:val="-1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8"/>
          <w:szCs w:val="18"/>
        </w:rPr>
        <w:t>kWh/a.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Damit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deckt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Solarstromertrag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8"/>
          <w:szCs w:val="18"/>
        </w:rPr>
        <w:t>rund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80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sur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toit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génère</w:t>
      </w:r>
      <w:r>
        <w:rPr>
          <w:color w:val="231F20"/>
          <w:spacing w:val="3"/>
        </w:rPr>
        <w:t> </w:t>
      </w:r>
      <w:r>
        <w:rPr>
          <w:color w:val="231F20"/>
        </w:rPr>
        <w:t>24’270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façade,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seconde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42</w:t>
      </w:r>
      <w:r>
        <w:rPr>
          <w:color w:val="231F20"/>
          <w:spacing w:val="4"/>
        </w:rPr>
        <w:t> </w:t>
      </w:r>
      <w:r>
        <w:rPr>
          <w:color w:val="231F20"/>
        </w:rPr>
        <w:t>kW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livre</w:t>
      </w:r>
      <w:r>
        <w:rPr>
          <w:color w:val="231F20"/>
          <w:spacing w:val="4"/>
        </w:rPr>
        <w:t> </w:t>
      </w:r>
      <w:r>
        <w:rPr>
          <w:color w:val="231F20"/>
        </w:rPr>
        <w:t>17’600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kWh/a,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ce</w:t>
      </w:r>
      <w:r>
        <w:rPr>
          <w:color w:val="231F20"/>
          <w:spacing w:val="21"/>
        </w:rPr>
        <w:t> </w:t>
      </w:r>
      <w:r>
        <w:rPr>
          <w:color w:val="231F20"/>
        </w:rPr>
        <w:t>qui</w:t>
      </w:r>
      <w:r>
        <w:rPr>
          <w:color w:val="231F20"/>
          <w:spacing w:val="21"/>
        </w:rPr>
        <w:t> </w:t>
      </w:r>
      <w:r>
        <w:rPr>
          <w:color w:val="231F20"/>
        </w:rPr>
        <w:t>équivaut</w:t>
      </w:r>
      <w:r>
        <w:rPr>
          <w:color w:val="231F20"/>
          <w:spacing w:val="21"/>
        </w:rPr>
        <w:t> </w:t>
      </w:r>
      <w:r>
        <w:rPr>
          <w:color w:val="231F20"/>
        </w:rPr>
        <w:t>à</w:t>
      </w:r>
      <w:r>
        <w:rPr>
          <w:color w:val="231F20"/>
          <w:spacing w:val="21"/>
        </w:rPr>
        <w:t> </w:t>
      </w:r>
      <w:r>
        <w:rPr>
          <w:color w:val="231F20"/>
        </w:rPr>
        <w:t>un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rendement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1"/>
        </w:rPr>
        <w:t> </w:t>
      </w:r>
      <w:r>
        <w:rPr>
          <w:color w:val="231F20"/>
        </w:rPr>
        <w:t>66,5%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limité</w:t>
      </w:r>
      <w:r>
        <w:rPr>
          <w:color w:val="231F20"/>
          <w:spacing w:val="25"/>
        </w:rPr>
        <w:t> </w:t>
      </w:r>
      <w:r>
        <w:rPr>
          <w:color w:val="231F20"/>
        </w:rPr>
        <w:t>par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couleur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modules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céra-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mique</w:t>
      </w:r>
      <w:r>
        <w:rPr>
          <w:color w:val="231F20"/>
        </w:rPr>
        <w:t> (100% </w:t>
      </w:r>
      <w:r>
        <w:rPr>
          <w:color w:val="231F20"/>
          <w:spacing w:val="-2"/>
        </w:rPr>
        <w:t>incolore</w:t>
      </w:r>
      <w:r>
        <w:rPr>
          <w:color w:val="231F20"/>
        </w:rPr>
        <w:t> ≈ 27’100 </w:t>
      </w:r>
      <w:r>
        <w:rPr>
          <w:color w:val="231F20"/>
          <w:spacing w:val="-3"/>
        </w:rPr>
        <w:t>kWh/a).</w:t>
      </w:r>
      <w:r>
        <w:rPr>
          <w:i w:val="0"/>
        </w:rPr>
      </w:r>
    </w:p>
    <w:p>
      <w:pPr>
        <w:pStyle w:val="BodyText"/>
        <w:spacing w:line="230" w:lineRule="exact"/>
        <w:ind w:right="0" w:firstLine="226"/>
        <w:jc w:val="both"/>
        <w:rPr>
          <w:i w:val="0"/>
        </w:rPr>
      </w:pPr>
      <w:r>
        <w:rPr>
          <w:color w:val="231F20"/>
          <w:spacing w:val="-1"/>
        </w:rPr>
        <w:t>Selon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l’Office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fédéral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(OFEN),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verres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colorés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façades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PV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réduisent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39%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puissance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photovoltaïque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(cf.</w:t>
      </w:r>
      <w:r>
        <w:rPr>
          <w:color w:val="231F20"/>
          <w:spacing w:val="-20"/>
        </w:rPr>
        <w:t> </w:t>
      </w:r>
      <w:r>
        <w:rPr>
          <w:color w:val="231F20"/>
        </w:rPr>
        <w:t>Prix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2017,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p.</w:t>
      </w:r>
      <w:r>
        <w:rPr>
          <w:color w:val="231F20"/>
          <w:spacing w:val="-7"/>
        </w:rPr>
        <w:t> </w:t>
      </w:r>
      <w:r>
        <w:rPr>
          <w:color w:val="231F20"/>
        </w:rPr>
        <w:t>84).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L’infrastructure</w:t>
      </w:r>
      <w:r>
        <w:rPr>
          <w:color w:val="231F20"/>
        </w:rPr>
        <w:t> </w:t>
      </w:r>
      <w:r>
        <w:rPr>
          <w:color w:val="231F20"/>
          <w:spacing w:val="1"/>
        </w:rPr>
        <w:t>PV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fournit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au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5"/>
        </w:rPr>
        <w:t> </w:t>
      </w:r>
      <w:r>
        <w:rPr>
          <w:color w:val="231F20"/>
        </w:rPr>
        <w:t>41’900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kWh/a, </w:t>
      </w:r>
      <w:r>
        <w:rPr>
          <w:color w:val="231F20"/>
          <w:spacing w:val="-1"/>
        </w:rPr>
        <w:t>dont</w:t>
      </w:r>
      <w:r>
        <w:rPr>
          <w:color w:val="231F20"/>
          <w:spacing w:val="5"/>
        </w:rPr>
        <w:t> </w:t>
      </w:r>
      <w:r>
        <w:rPr>
          <w:color w:val="231F20"/>
        </w:rPr>
        <w:t>33’229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kWh/a</w:t>
      </w:r>
      <w:r>
        <w:rPr>
          <w:color w:val="231F20"/>
          <w:spacing w:val="35"/>
        </w:rPr>
        <w:t> </w:t>
      </w:r>
      <w:r>
        <w:rPr>
          <w:color w:val="231F20"/>
        </w:rPr>
        <w:t>servent</w:t>
      </w:r>
      <w:r>
        <w:rPr>
          <w:color w:val="231F20"/>
          <w:spacing w:val="36"/>
        </w:rPr>
        <w:t> </w:t>
      </w:r>
      <w:r>
        <w:rPr>
          <w:color w:val="231F20"/>
        </w:rPr>
        <w:t>à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alimenter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BEP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préfab-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riqué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bois</w:t>
      </w:r>
      <w:r>
        <w:rPr>
          <w:color w:val="231F20"/>
          <w:spacing w:val="1"/>
        </w:rPr>
        <w:t> </w:t>
      </w:r>
      <w:r>
        <w:rPr>
          <w:color w:val="231F20"/>
        </w:rPr>
        <w:t>et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doté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d’une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isolation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optima-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le.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L’autoproduction</w:t>
      </w:r>
      <w:r>
        <w:rPr>
          <w:color w:val="231F20"/>
        </w:rPr>
        <w:t> </w:t>
      </w:r>
      <w:r>
        <w:rPr>
          <w:color w:val="231F20"/>
          <w:spacing w:val="-3"/>
        </w:rPr>
        <w:t>s’élève</w:t>
      </w:r>
      <w:r>
        <w:rPr>
          <w:color w:val="231F20"/>
        </w:rPr>
        <w:t> ainsi à 126%.</w:t>
      </w:r>
      <w:r>
        <w:rPr>
          <w:i w:val="0"/>
        </w:rPr>
      </w:r>
    </w:p>
    <w:p>
      <w:pPr>
        <w:tabs>
          <w:tab w:pos="2073" w:val="left" w:leader="none"/>
          <w:tab w:pos="2487" w:val="left" w:leader="none"/>
          <w:tab w:pos="3029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7.0</w:t>
        <w:tab/>
        <w:t>19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6’328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63" w:val="left" w:leader="none"/>
          <w:tab w:pos="2489" w:val="left" w:leader="none"/>
          <w:tab w:pos="302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  <w:t>4.3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3’887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75" w:val="left" w:leader="none"/>
          <w:tab w:pos="2488" w:val="left" w:leader="none"/>
          <w:tab w:pos="3046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WP: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6.1</w:t>
        <w:tab/>
        <w:t>16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5’514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9" w:val="left" w:leader="none"/>
          <w:tab w:pos="2480" w:val="left" w:leader="none"/>
          <w:tab w:pos="294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19.4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53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17’500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69" w:val="left" w:leader="none"/>
          <w:tab w:pos="292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36.8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33’229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95" w:val="left" w:leader="none"/>
          <w:tab w:pos="1915" w:val="left" w:leader="none"/>
          <w:tab w:pos="2493" w:val="left" w:leader="none"/>
          <w:tab w:pos="2951" w:val="left" w:leader="none"/>
        </w:tabs>
        <w:spacing w:line="207" w:lineRule="auto" w:before="5"/>
        <w:ind w:left="106" w:right="16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  <w:tab/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141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25.1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172.1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73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24’273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877" w:val="left" w:leader="none"/>
          <w:tab w:pos="1977" w:val="left" w:leader="none"/>
          <w:tab w:pos="2491" w:val="left" w:leader="none"/>
          <w:tab w:pos="2962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PV-Fass: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339  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42.3</w:t>
        <w:tab/>
        <w:t>52.0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53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17’615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76" w:val="left" w:leader="none"/>
          <w:tab w:pos="2960" w:val="left" w:leader="none"/>
        </w:tabs>
        <w:spacing w:line="160" w:lineRule="exact" w:before="0"/>
        <w:ind w:left="106" w:right="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color w:val="231F20"/>
          <w:spacing w:val="1"/>
          <w:sz w:val="14"/>
          <w:szCs w:val="14"/>
        </w:rPr>
        <w:t>PV-Pot.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1"/>
          <w:sz w:val="14"/>
          <w:szCs w:val="14"/>
        </w:rPr>
        <w:t>ungef.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2"/>
          <w:sz w:val="14"/>
          <w:szCs w:val="14"/>
        </w:rPr>
        <w:t>Fassade:</w:t>
        <w:tab/>
      </w:r>
      <w:r>
        <w:rPr>
          <w:rFonts w:ascii="Theinhardt Light Italic" w:hAnsi="Theinhardt Light Italic" w:cs="Theinhardt Light Italic" w:eastAsia="Theinhardt Light Italic"/>
          <w:i/>
          <w:color w:val="231F20"/>
          <w:w w:val="95"/>
          <w:sz w:val="14"/>
          <w:szCs w:val="14"/>
        </w:rPr>
        <w:t>80.0</w:t>
        <w:tab/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3"/>
          <w:sz w:val="14"/>
          <w:szCs w:val="14"/>
        </w:rPr>
        <w:t>27’120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tabs>
          <w:tab w:pos="2411" w:val="left" w:leader="none"/>
          <w:tab w:pos="2941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126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41’888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29" w:val="left" w:leader="none"/>
          <w:tab w:pos="2992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11" w:val="left" w:leader="none"/>
          <w:tab w:pos="2941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w w:val="95"/>
          <w:sz w:val="14"/>
          <w:szCs w:val="14"/>
        </w:rPr>
        <w:t>126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41’888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10" w:val="left" w:leader="none"/>
          <w:tab w:pos="294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33’229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91" w:val="left" w:leader="none"/>
          <w:tab w:pos="3015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26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8’659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vom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Zürich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(EWZ)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18.7.2019,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Adrian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Brumann,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58 </w:t>
      </w:r>
      <w:r>
        <w:rPr>
          <w:rFonts w:ascii="Theinhardt Regular" w:hAnsi="Theinhardt Regular"/>
          <w:color w:val="231F20"/>
          <w:spacing w:val="-4"/>
          <w:sz w:val="14"/>
        </w:rPr>
        <w:t>319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79</w:t>
      </w:r>
      <w:r>
        <w:rPr>
          <w:rFonts w:ascii="Theinhardt Regular" w:hAnsi="Theinhardt Regular"/>
          <w:sz w:val="14"/>
        </w:rPr>
      </w:r>
    </w:p>
    <w:p>
      <w:pPr>
        <w:spacing w:line="145" w:lineRule="exact" w:before="105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511902pt;margin-top:16.292099pt;width:167.25pt;height:.45pt;mso-position-horizontal-relative:page;mso-position-vertical-relative:paragraph;z-index:-6184" coordorigin="7710,326" coordsize="3345,9">
            <v:group style="position:absolute;left:7732;top:330;width:3311;height:2" coordorigin="7732,330" coordsize="3311,2">
              <v:shape style="position:absolute;left:7732;top:330;width:3311;height:2" coordorigin="7732,330" coordsize="3311,0" path="m7732,330l11042,330e" filled="false" stroked="true" strokeweight=".425pt" strokecolor="#231f20">
                <v:path arrowok="t"/>
                <v:stroke dashstyle="dash"/>
              </v:shape>
            </v:group>
            <v:group style="position:absolute;left:7714;top:330;width:2;height:2" coordorigin="7714,330" coordsize="2,2">
              <v:shape style="position:absolute;left:7714;top:330;width:2;height:2" coordorigin="7714,330" coordsize="0,0" path="m7714,330l7714,330e" filled="false" stroked="true" strokeweight=".425pt" strokecolor="#231f20">
                <v:path arrowok="t"/>
              </v:shape>
            </v:group>
            <v:group style="position:absolute;left:11051;top:330;width:2;height:2" coordorigin="11051,330" coordsize="2,2">
              <v:shape style="position:absolute;left:11051;top:330;width:2;height:2" coordorigin="11051,330" coordsize="0,0" path="m11051,330l11051,330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after="0" w:line="145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0" w:space="112"/>
            <w:col w:w="3566"/>
          </w:cols>
        </w:sectPr>
      </w:pPr>
    </w:p>
    <w:p>
      <w:pPr>
        <w:pStyle w:val="Heading1"/>
        <w:spacing w:line="160" w:lineRule="exact"/>
        <w:ind w:right="0"/>
        <w:jc w:val="left"/>
      </w:pPr>
      <w:r>
        <w:rPr>
          <w:color w:val="231F20"/>
          <w:spacing w:val="-2"/>
        </w:rPr>
        <w:t>41’900</w:t>
      </w:r>
      <w:r>
        <w:rPr>
          <w:color w:val="231F20"/>
          <w:spacing w:val="30"/>
        </w:rPr>
        <w:t> </w:t>
      </w:r>
      <w:r>
        <w:rPr>
          <w:color w:val="231F20"/>
          <w:spacing w:val="-4"/>
        </w:rPr>
        <w:t>kWh/a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126%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des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Gesamtenergie-</w:t>
      </w:r>
      <w:r>
        <w:rPr/>
      </w:r>
    </w:p>
    <w:p>
      <w:pPr>
        <w:pStyle w:val="BodyText"/>
        <w:tabs>
          <w:tab w:pos="3472" w:val="left" w:leader="none"/>
          <w:tab w:pos="6783" w:val="left" w:leader="none"/>
        </w:tabs>
        <w:spacing w:line="160" w:lineRule="exact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color w:val="231F20"/>
        </w:rPr>
        <w:t>Un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système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d’accumulateur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3"/>
        </w:rPr>
        <w:t> </w:t>
      </w:r>
      <w:r>
        <w:rPr>
          <w:color w:val="231F20"/>
        </w:rPr>
        <w:t>20</w:t>
      </w:r>
      <w:r>
        <w:rPr>
          <w:color w:val="231F20"/>
          <w:spacing w:val="23"/>
        </w:rPr>
        <w:t> </w:t>
      </w:r>
      <w:r>
        <w:rPr>
          <w:color w:val="231F20"/>
        </w:rPr>
        <w:t>kWh,</w:t>
      </w:r>
      <w:r>
        <w:rPr>
          <w:color w:val="231F20"/>
        </w:rPr>
        <w:tab/>
        <w:t> </w:t>
        <w:tab/>
      </w:r>
      <w:r>
        <w:rPr>
          <w:i w:val="0"/>
        </w:rPr>
      </w:r>
    </w:p>
    <w:p>
      <w:pPr>
        <w:spacing w:after="0" w:line="160" w:lineRule="exact"/>
        <w:jc w:val="left"/>
        <w:sectPr>
          <w:type w:val="continuous"/>
          <w:pgSz w:w="11910" w:h="16840"/>
          <w:pgMar w:top="840" w:bottom="280" w:left="460" w:right="740"/>
          <w:cols w:num="2" w:equalWidth="0">
            <w:col w:w="3452" w:space="346"/>
            <w:col w:w="6912"/>
          </w:cols>
        </w:sectPr>
      </w:pPr>
    </w:p>
    <w:p>
      <w:pPr>
        <w:pStyle w:val="Heading1"/>
        <w:spacing w:line="234" w:lineRule="exact" w:before="31"/>
        <w:ind w:right="0"/>
        <w:jc w:val="both"/>
      </w:pPr>
      <w:r>
        <w:rPr>
          <w:color w:val="231F20"/>
          <w:spacing w:val="-2"/>
        </w:rPr>
        <w:t>bedarfes.</w:t>
      </w:r>
      <w:r>
        <w:rPr/>
      </w:r>
    </w:p>
    <w:p>
      <w:pPr>
        <w:spacing w:line="232" w:lineRule="auto" w:before="1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2"/>
          <w:sz w:val="18"/>
        </w:rPr>
        <w:t>Die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Eigenverbrauchsquote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erhöht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sich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durch</w:t>
      </w:r>
      <w:r>
        <w:rPr>
          <w:rFonts w:ascii="Theinhardt Regular" w:hAnsi="Theinhardt Regular"/>
          <w:color w:val="231F20"/>
          <w:spacing w:val="4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den</w:t>
      </w:r>
      <w:r>
        <w:rPr>
          <w:rFonts w:ascii="Theinhardt Regular" w:hAnsi="Theinhardt Regular"/>
          <w:color w:val="231F20"/>
          <w:spacing w:val="4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20</w:t>
      </w:r>
      <w:r>
        <w:rPr>
          <w:rFonts w:ascii="Theinhardt Regular" w:hAnsi="Theinhardt Regular"/>
          <w:color w:val="231F20"/>
          <w:spacing w:val="4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kWh</w:t>
      </w:r>
      <w:r>
        <w:rPr>
          <w:rFonts w:ascii="Theinhardt Regular" w:hAnsi="Theinhardt Regular"/>
          <w:color w:val="231F20"/>
          <w:spacing w:val="48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Batteriespeicher,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kon-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trollierte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PV-Komfortlüftung</w:t>
      </w:r>
      <w:r>
        <w:rPr>
          <w:rFonts w:ascii="Theinhardt Regular" w:hAnsi="Theinhardt Regular"/>
          <w:color w:val="231F20"/>
          <w:spacing w:val="4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und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eine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Wärmerückgewinnungsanlage.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Ein</w:t>
      </w:r>
      <w:r>
        <w:rPr>
          <w:rFonts w:ascii="Theinhardt Regular" w:hAnsi="Theinhardt Regular"/>
          <w:color w:val="231F20"/>
          <w:spacing w:val="1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Ge-</w:t>
      </w:r>
      <w:r>
        <w:rPr>
          <w:rFonts w:ascii="Theinhardt Regular" w:hAnsi="Theinhardt Regular"/>
          <w:color w:val="231F20"/>
          <w:spacing w:val="25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bäudeautomationssystem</w:t>
      </w:r>
      <w:r>
        <w:rPr>
          <w:rFonts w:ascii="Theinhardt Regular" w:hAnsi="Theinhardt Regular"/>
          <w:color w:val="231F20"/>
          <w:spacing w:val="32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optimiert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den</w:t>
      </w:r>
      <w:r>
        <w:rPr>
          <w:rFonts w:ascii="Theinhardt Regular" w:hAnsi="Theinhardt Regular"/>
          <w:color w:val="231F20"/>
          <w:spacing w:val="32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Ei-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genverbrauch.</w:t>
      </w:r>
      <w:r>
        <w:rPr>
          <w:rFonts w:ascii="Theinhardt Regular" w:hAnsi="Theinhardt Regular"/>
          <w:color w:val="231F20"/>
          <w:spacing w:val="4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Zu</w:t>
      </w:r>
      <w:r>
        <w:rPr>
          <w:rFonts w:ascii="Theinhardt Regular" w:hAnsi="Theinhardt Regular"/>
          <w:color w:val="231F20"/>
          <w:spacing w:val="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Solarstrom-Spitzenzeiten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wird</w:t>
      </w:r>
      <w:r>
        <w:rPr>
          <w:rFonts w:ascii="Theinhardt Regular" w:hAnsi="Theinhardt Regular"/>
          <w:color w:val="231F20"/>
          <w:spacing w:val="12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der</w:t>
      </w:r>
      <w:r>
        <w:rPr>
          <w:rFonts w:ascii="Theinhardt Regular" w:hAnsi="Theinhardt Regular"/>
          <w:color w:val="231F20"/>
          <w:spacing w:val="12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Batteriespeicher</w:t>
      </w:r>
      <w:r>
        <w:rPr>
          <w:rFonts w:ascii="Theinhardt Regular" w:hAnsi="Theinhardt Regular"/>
          <w:color w:val="231F20"/>
          <w:spacing w:val="12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geladen.</w:t>
      </w:r>
      <w:r>
        <w:rPr>
          <w:rFonts w:ascii="Theinhardt Regular" w:hAnsi="Theinhardt Regular"/>
          <w:color w:val="231F20"/>
          <w:spacing w:val="1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Dadurch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wird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21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kW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starke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Wärmepumpe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oft</w:t>
      </w:r>
      <w:r>
        <w:rPr>
          <w:rFonts w:ascii="Theinhardt Regular" w:hAnsi="Theinhardt Regular"/>
          <w:color w:val="231F20"/>
          <w:spacing w:val="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mit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selbst</w:t>
      </w:r>
      <w:r>
        <w:rPr>
          <w:rFonts w:ascii="Theinhardt Regular" w:hAnsi="Theinhardt Regular"/>
          <w:color w:val="231F20"/>
          <w:spacing w:val="34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produziertem</w:t>
      </w:r>
      <w:r>
        <w:rPr>
          <w:rFonts w:ascii="Theinhardt Regular" w:hAnsi="Theinhardt Regular"/>
          <w:color w:val="231F20"/>
          <w:spacing w:val="35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Strom</w:t>
      </w:r>
      <w:r>
        <w:rPr>
          <w:rFonts w:ascii="Theinhardt Regular" w:hAnsi="Theinhardt Regular"/>
          <w:color w:val="231F20"/>
          <w:spacing w:val="34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betrieben.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Zwei</w:t>
      </w:r>
      <w:r>
        <w:rPr>
          <w:rFonts w:ascii="Theinhardt Regular" w:hAnsi="Theinhardt Regular"/>
          <w:sz w:val="18"/>
        </w:rPr>
      </w:r>
    </w:p>
    <w:p>
      <w:pPr>
        <w:spacing w:line="232" w:lineRule="auto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2"/>
          <w:sz w:val="18"/>
        </w:rPr>
        <w:t>202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tiefe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Erdsonden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nutzen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2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zusätzlich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-2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Erdwärme.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Zwei</w:t>
      </w:r>
      <w:r>
        <w:rPr>
          <w:rFonts w:ascii="Theinhardt Regular" w:hAnsi="Theinhardt Regular"/>
          <w:color w:val="231F20"/>
          <w:spacing w:val="-2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Warmwasserboiler</w:t>
      </w:r>
      <w:r>
        <w:rPr>
          <w:rFonts w:ascii="Theinhardt Regular" w:hAnsi="Theinhardt Regular"/>
          <w:color w:val="231F20"/>
          <w:spacing w:val="-2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spei-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chern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Wärme.</w:t>
      </w:r>
      <w:r>
        <w:rPr>
          <w:rFonts w:ascii="Theinhardt Regular" w:hAnsi="Theinhardt Regular"/>
          <w:color w:val="231F20"/>
          <w:spacing w:val="-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Die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grosszügigen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Fenster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erhöhen</w:t>
      </w:r>
      <w:r>
        <w:rPr>
          <w:rFonts w:ascii="Theinhardt Regular" w:hAnsi="Theinhardt Regular"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</w:t>
      </w:r>
      <w:r>
        <w:rPr>
          <w:rFonts w:ascii="Theinhardt Regular" w:hAnsi="Theinhardt Regular"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solare</w:t>
      </w:r>
      <w:r>
        <w:rPr>
          <w:rFonts w:ascii="Theinhardt Regular" w:hAnsi="Theinhardt Regular"/>
          <w:color w:val="231F20"/>
          <w:spacing w:val="16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Passivenergienutzung.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Das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Gebäude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ist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als</w:t>
      </w:r>
      <w:r>
        <w:rPr>
          <w:rFonts w:ascii="Theinhardt Regular" w:hAnsi="Theinhardt Regular"/>
          <w:color w:val="231F20"/>
          <w:spacing w:val="-7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Eigenverbrauchgemein-</w:t>
      </w:r>
      <w:r>
        <w:rPr>
          <w:rFonts w:ascii="Theinhardt Regular" w:hAnsi="Theinhardt Regular"/>
          <w:color w:val="231F20"/>
          <w:spacing w:val="5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schaft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organisiert.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Dadurch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kann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der</w:t>
      </w:r>
      <w:r>
        <w:rPr>
          <w:rFonts w:ascii="Theinhardt Regular" w:hAnsi="Theinhardt Regular"/>
          <w:color w:val="231F20"/>
          <w:spacing w:val="19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selbst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produzierte</w:t>
      </w:r>
      <w:r>
        <w:rPr>
          <w:rFonts w:ascii="Theinhardt Regular" w:hAnsi="Theinhardt Regular"/>
          <w:color w:val="231F20"/>
          <w:spacing w:val="-11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Strom</w:t>
      </w:r>
      <w:r>
        <w:rPr>
          <w:rFonts w:ascii="Theinhardt Regular" w:hAnsi="Theinhardt Regular"/>
          <w:color w:val="231F20"/>
          <w:spacing w:val="-1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direkt</w:t>
      </w:r>
      <w:r>
        <w:rPr>
          <w:rFonts w:ascii="Theinhardt Regular" w:hAnsi="Theinhardt Regular"/>
          <w:color w:val="231F20"/>
          <w:spacing w:val="-1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von</w:t>
      </w:r>
      <w:r>
        <w:rPr>
          <w:rFonts w:ascii="Theinhardt Regular" w:hAnsi="Theinhardt Regular"/>
          <w:color w:val="231F20"/>
          <w:spacing w:val="-1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den</w:t>
      </w:r>
      <w:r>
        <w:rPr>
          <w:rFonts w:ascii="Theinhardt Regular" w:hAnsi="Theinhardt Regular"/>
          <w:color w:val="231F20"/>
          <w:spacing w:val="-11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Bewohnern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genutzt</w:t>
      </w:r>
      <w:r>
        <w:rPr>
          <w:rFonts w:ascii="Theinhardt Regular" w:hAnsi="Theinhardt Regular"/>
          <w:color w:val="231F20"/>
          <w:spacing w:val="-4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werden.</w:t>
      </w:r>
      <w:r>
        <w:rPr>
          <w:rFonts w:ascii="Theinhardt Regular" w:hAnsi="Theinhardt Regular"/>
          <w:sz w:val="18"/>
        </w:rPr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color w:val="231F20"/>
          <w:spacing w:val="-1"/>
          <w:sz w:val="18"/>
        </w:rPr>
        <w:t>Der</w:t>
      </w:r>
      <w:r>
        <w:rPr>
          <w:rFonts w:ascii="Theinhardt Regular"/>
          <w:color w:val="231F20"/>
          <w:spacing w:val="-13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als</w:t>
      </w:r>
      <w:r>
        <w:rPr>
          <w:rFonts w:ascii="Theinhardt Regular"/>
          <w:color w:val="231F20"/>
          <w:spacing w:val="-13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Sonnenkraftwerk</w:t>
      </w:r>
      <w:r>
        <w:rPr>
          <w:rFonts w:ascii="Theinhardt Regular"/>
          <w:color w:val="231F20"/>
          <w:spacing w:val="-13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konzipierte</w:t>
      </w:r>
      <w:r>
        <w:rPr>
          <w:rFonts w:ascii="Theinhardt Regular"/>
          <w:color w:val="231F20"/>
          <w:spacing w:val="-13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Plus-</w:t>
      </w:r>
      <w:r>
        <w:rPr>
          <w:rFonts w:ascii="Theinhardt Regular"/>
          <w:color w:val="231F20"/>
          <w:spacing w:val="25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EnergieBau</w:t>
      </w:r>
      <w:r>
        <w:rPr>
          <w:rFonts w:ascii="Theinhardt Regular"/>
          <w:color w:val="231F20"/>
          <w:spacing w:val="39"/>
          <w:sz w:val="18"/>
        </w:rPr>
        <w:t> </w:t>
      </w:r>
      <w:r>
        <w:rPr>
          <w:rFonts w:ascii="Theinhardt Regular"/>
          <w:color w:val="231F20"/>
          <w:spacing w:val="-3"/>
          <w:sz w:val="18"/>
        </w:rPr>
        <w:t>verdient</w:t>
      </w:r>
      <w:r>
        <w:rPr>
          <w:rFonts w:ascii="Theinhardt Regular"/>
          <w:color w:val="231F20"/>
          <w:spacing w:val="40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den</w:t>
      </w:r>
      <w:r>
        <w:rPr>
          <w:rFonts w:ascii="Theinhardt Regular"/>
          <w:color w:val="231F20"/>
          <w:spacing w:val="39"/>
          <w:sz w:val="18"/>
        </w:rPr>
        <w:t> </w:t>
      </w:r>
      <w:r>
        <w:rPr>
          <w:rFonts w:ascii="Theinhardt Regular"/>
          <w:color w:val="231F20"/>
          <w:spacing w:val="-3"/>
          <w:sz w:val="18"/>
        </w:rPr>
        <w:t>Schweizer</w:t>
      </w:r>
      <w:r>
        <w:rPr>
          <w:rFonts w:ascii="Theinhardt Regular"/>
          <w:color w:val="231F20"/>
          <w:spacing w:val="40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Solar-</w:t>
      </w:r>
      <w:r>
        <w:rPr>
          <w:rFonts w:ascii="Theinhardt Regular"/>
          <w:color w:val="231F20"/>
          <w:spacing w:val="43"/>
          <w:sz w:val="18"/>
        </w:rPr>
        <w:t> </w:t>
      </w:r>
      <w:r>
        <w:rPr>
          <w:rFonts w:ascii="Theinhardt Regular"/>
          <w:color w:val="231F20"/>
          <w:spacing w:val="-3"/>
          <w:sz w:val="18"/>
        </w:rPr>
        <w:t>preis</w:t>
      </w:r>
      <w:r>
        <w:rPr>
          <w:rFonts w:ascii="Theinhardt Regular"/>
          <w:color w:val="231F20"/>
          <w:spacing w:val="-4"/>
          <w:sz w:val="18"/>
        </w:rPr>
        <w:t> </w:t>
      </w:r>
      <w:r>
        <w:rPr>
          <w:rFonts w:ascii="Theinhardt Regular"/>
          <w:color w:val="231F20"/>
          <w:spacing w:val="-2"/>
          <w:sz w:val="18"/>
        </w:rPr>
        <w:t>2019.</w:t>
      </w:r>
      <w:r>
        <w:rPr>
          <w:rFonts w:ascii="Theinhardt Regular"/>
          <w:sz w:val="18"/>
        </w:rPr>
      </w:r>
    </w:p>
    <w:p>
      <w:pPr>
        <w:pStyle w:val="BodyText"/>
        <w:spacing w:line="230" w:lineRule="exact" w:before="21"/>
        <w:ind w:right="4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1"/>
        </w:rPr>
        <w:t>une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ventilation</w:t>
      </w:r>
      <w:r>
        <w:rPr>
          <w:color w:val="231F20"/>
          <w:spacing w:val="10"/>
        </w:rPr>
        <w:t> </w:t>
      </w:r>
      <w:r>
        <w:rPr>
          <w:color w:val="231F20"/>
        </w:rPr>
        <w:t>à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double</w:t>
      </w:r>
      <w:r>
        <w:rPr>
          <w:color w:val="231F20"/>
          <w:spacing w:val="10"/>
        </w:rPr>
        <w:t> </w:t>
      </w:r>
      <w:r>
        <w:rPr>
          <w:color w:val="231F20"/>
        </w:rPr>
        <w:t>flux</w:t>
      </w:r>
      <w:r>
        <w:rPr>
          <w:color w:val="231F20"/>
          <w:spacing w:val="10"/>
        </w:rPr>
        <w:t> </w:t>
      </w:r>
      <w:r>
        <w:rPr>
          <w:color w:val="231F20"/>
        </w:rPr>
        <w:t>et</w:t>
      </w:r>
      <w:r>
        <w:rPr>
          <w:color w:val="231F20"/>
          <w:spacing w:val="10"/>
        </w:rPr>
        <w:t> </w:t>
      </w:r>
      <w:r>
        <w:rPr>
          <w:color w:val="231F20"/>
        </w:rPr>
        <w:t>un</w:t>
      </w:r>
      <w:r>
        <w:rPr>
          <w:color w:val="231F20"/>
          <w:spacing w:val="10"/>
        </w:rPr>
        <w:t> </w:t>
      </w:r>
      <w:r>
        <w:rPr>
          <w:color w:val="231F20"/>
        </w:rPr>
        <w:t>dispositif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récupération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chaleur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augmentent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  <w:spacing w:val="1"/>
        </w:rPr>
        <w:t>part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d’énergie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propre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utilisée.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Celle-ci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gé-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rée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façon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automatisée</w:t>
      </w:r>
      <w:r>
        <w:rPr>
          <w:color w:val="231F20"/>
          <w:spacing w:val="17"/>
        </w:rPr>
        <w:t> </w:t>
      </w:r>
      <w:r>
        <w:rPr>
          <w:color w:val="231F20"/>
        </w:rPr>
        <w:t>et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système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d’accumulateur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charge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lorsque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l’ensoleillement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48"/>
        </w:rPr>
        <w:t> </w:t>
      </w:r>
      <w:r>
        <w:rPr>
          <w:color w:val="231F20"/>
        </w:rPr>
        <w:t>maximal.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48"/>
        </w:rPr>
        <w:t> </w:t>
      </w:r>
      <w:r>
        <w:rPr>
          <w:color w:val="231F20"/>
        </w:rPr>
        <w:t>pompe</w:t>
      </w:r>
      <w:r>
        <w:rPr>
          <w:color w:val="231F20"/>
          <w:spacing w:val="48"/>
        </w:rPr>
        <w:t> </w:t>
      </w:r>
      <w:r>
        <w:rPr>
          <w:color w:val="231F20"/>
        </w:rPr>
        <w:t>à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chaleur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21</w:t>
      </w:r>
      <w:r>
        <w:rPr>
          <w:color w:val="231F20"/>
          <w:spacing w:val="-5"/>
        </w:rPr>
        <w:t> </w:t>
      </w:r>
      <w:r>
        <w:rPr>
          <w:color w:val="231F20"/>
        </w:rPr>
        <w:t>kW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fonctionne</w:t>
      </w:r>
      <w:r>
        <w:rPr>
          <w:color w:val="231F20"/>
          <w:spacing w:val="-5"/>
        </w:rPr>
        <w:t> </w:t>
      </w:r>
      <w:r>
        <w:rPr>
          <w:color w:val="231F20"/>
        </w:rPr>
        <w:t>aussi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souvent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propre.</w:t>
      </w:r>
      <w:r>
        <w:rPr>
          <w:color w:val="231F20"/>
          <w:spacing w:val="2"/>
        </w:rPr>
        <w:t> </w:t>
      </w:r>
      <w:r>
        <w:rPr>
          <w:color w:val="231F20"/>
        </w:rPr>
        <w:t>Deux</w:t>
      </w:r>
      <w:r>
        <w:rPr>
          <w:color w:val="231F20"/>
          <w:spacing w:val="9"/>
        </w:rPr>
        <w:t> </w:t>
      </w:r>
      <w:r>
        <w:rPr>
          <w:color w:val="231F20"/>
        </w:rPr>
        <w:t>chauffe-eau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stockent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outre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chaleur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puisée</w:t>
      </w:r>
      <w:r>
        <w:rPr>
          <w:color w:val="231F20"/>
          <w:spacing w:val="15"/>
        </w:rPr>
        <w:t> </w:t>
      </w:r>
      <w:r>
        <w:rPr>
          <w:color w:val="231F20"/>
        </w:rPr>
        <w:t>par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deux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sondes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géothermiques</w:t>
      </w:r>
      <w:r>
        <w:rPr>
          <w:color w:val="231F20"/>
          <w:spacing w:val="25"/>
        </w:rPr>
        <w:t> </w:t>
      </w:r>
      <w:r>
        <w:rPr>
          <w:color w:val="231F20"/>
        </w:rPr>
        <w:t>à</w:t>
      </w:r>
      <w:r>
        <w:rPr>
          <w:color w:val="231F20"/>
          <w:spacing w:val="26"/>
        </w:rPr>
        <w:t> </w:t>
      </w:r>
      <w:r>
        <w:rPr>
          <w:color w:val="231F20"/>
        </w:rPr>
        <w:t>202</w:t>
      </w:r>
      <w:r>
        <w:rPr>
          <w:color w:val="231F20"/>
          <w:spacing w:val="25"/>
        </w:rPr>
        <w:t> </w:t>
      </w:r>
      <w:r>
        <w:rPr>
          <w:color w:val="231F20"/>
        </w:rPr>
        <w:t>m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profondeur.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surface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généreuse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fenêtres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accroît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plus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l’exploitation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l’énergie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passi-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ve.</w:t>
      </w:r>
      <w:r>
        <w:rPr>
          <w:i w:val="0"/>
        </w:rPr>
      </w:r>
    </w:p>
    <w:p>
      <w:pPr>
        <w:pStyle w:val="BodyText"/>
        <w:spacing w:line="230" w:lineRule="exact"/>
        <w:ind w:right="0" w:firstLine="226"/>
        <w:jc w:val="both"/>
        <w:rPr>
          <w:i w:val="0"/>
        </w:rPr>
      </w:pPr>
      <w:r>
        <w:rPr>
          <w:color w:val="231F20"/>
          <w:spacing w:val="-1"/>
        </w:rPr>
        <w:t>Organisé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communauté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d’auto-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consommation,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bâtiment</w:t>
      </w:r>
      <w:r>
        <w:rPr>
          <w:color w:val="231F20"/>
          <w:spacing w:val="5"/>
        </w:rPr>
        <w:t> </w:t>
      </w:r>
      <w:r>
        <w:rPr>
          <w:color w:val="231F20"/>
        </w:rPr>
        <w:t>multifamilial</w:t>
      </w:r>
      <w:r>
        <w:rPr>
          <w:color w:val="231F20"/>
          <w:spacing w:val="5"/>
        </w:rPr>
        <w:t> </w:t>
      </w:r>
      <w:r>
        <w:rPr>
          <w:color w:val="231F20"/>
        </w:rPr>
        <w:t>à</w:t>
      </w:r>
      <w:r>
        <w:rPr>
          <w:color w:val="231F20"/>
          <w:spacing w:val="31"/>
        </w:rPr>
        <w:t> </w:t>
      </w:r>
      <w:r>
        <w:rPr>
          <w:color w:val="231F20"/>
          <w:spacing w:val="-2"/>
        </w:rPr>
        <w:t>énergie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positive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permet</w:t>
      </w:r>
      <w:r>
        <w:rPr>
          <w:color w:val="231F20"/>
          <w:spacing w:val="32"/>
        </w:rPr>
        <w:t> </w:t>
      </w:r>
      <w:r>
        <w:rPr>
          <w:color w:val="231F20"/>
        </w:rPr>
        <w:t>aux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résidents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d’utiliser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directement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courant</w:t>
      </w:r>
      <w:r>
        <w:rPr>
          <w:color w:val="231F20"/>
          <w:spacing w:val="-3"/>
        </w:rPr>
        <w:t> </w:t>
      </w:r>
      <w:r>
        <w:rPr>
          <w:color w:val="231F20"/>
        </w:rPr>
        <w:t>vert</w:t>
      </w:r>
      <w:r>
        <w:rPr>
          <w:color w:val="231F20"/>
          <w:spacing w:val="-3"/>
        </w:rPr>
        <w:t> </w:t>
      </w:r>
      <w:r>
        <w:rPr>
          <w:color w:val="231F20"/>
        </w:rPr>
        <w:t>produit.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Conçu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comme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centrale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solaire,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BEP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reçoit</w:t>
      </w:r>
      <w:r>
        <w:rPr>
          <w:color w:val="231F20"/>
        </w:rPr>
        <w:t> </w:t>
      </w:r>
      <w:r>
        <w:rPr>
          <w:color w:val="231F20"/>
          <w:spacing w:val="-2"/>
        </w:rPr>
        <w:t>le</w:t>
      </w:r>
      <w:r>
        <w:rPr>
          <w:color w:val="231F20"/>
        </w:rPr>
        <w:t> Prix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2019.</w:t>
      </w:r>
      <w:r>
        <w:rPr>
          <w:i w:val="0"/>
        </w:rPr>
      </w:r>
    </w:p>
    <w:p>
      <w:pPr>
        <w:spacing w:line="14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color w:val="231F20"/>
          <w:spacing w:val="1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6" w:right="113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Rita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Walter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Zehnder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Segantinistrasse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186,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8049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89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kämpfen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architektur</w:t>
      </w:r>
      <w:r>
        <w:rPr>
          <w:rFonts w:ascii="Theinhardt Regular" w:hAnsi="Theinhardt Regular"/>
          <w:color w:val="231F20"/>
          <w:sz w:val="14"/>
        </w:rPr>
        <w:t> ag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Badenerstrasse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571,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8048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344</w:t>
      </w:r>
      <w:r>
        <w:rPr>
          <w:rFonts w:ascii="Theinhardt Regular"/>
          <w:color w:val="231F20"/>
          <w:sz w:val="14"/>
        </w:rPr>
        <w:t> 46 20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info@kaempfen.ch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Energiemanagement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13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Smart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Energy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Link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Monbijoustrasse</w:t>
      </w:r>
      <w:r>
        <w:rPr>
          <w:rFonts w:ascii="Theinhardt Regular"/>
          <w:color w:val="231F20"/>
          <w:sz w:val="14"/>
        </w:rPr>
        <w:t> 6, </w:t>
      </w:r>
      <w:r>
        <w:rPr>
          <w:rFonts w:ascii="Theinhardt Regular"/>
          <w:color w:val="231F20"/>
          <w:spacing w:val="-4"/>
          <w:sz w:val="14"/>
        </w:rPr>
        <w:t>3011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Bern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33 </w:t>
      </w:r>
      <w:r>
        <w:rPr>
          <w:rFonts w:ascii="Theinhardt Regular"/>
          <w:color w:val="231F20"/>
          <w:spacing w:val="-1"/>
          <w:sz w:val="14"/>
        </w:rPr>
        <w:t>672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</w:t>
      </w:r>
      <w:hyperlink r:id="rId7">
        <w:r>
          <w:rPr>
            <w:rFonts w:ascii="Theinhardt Regular"/>
            <w:color w:val="231F20"/>
            <w:spacing w:val="-1"/>
            <w:sz w:val="14"/>
          </w:rPr>
          <w:t>2,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info@smartenergylink.ch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PV-Planung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Sundesign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Gamlikon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8143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Stallikon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> 58</w:t>
      </w:r>
      <w:hyperlink r:id="rId8">
        <w:r>
          <w:rPr>
            <w:rFonts w:ascii="Theinhardt Regular"/>
            <w:color w:val="231F20"/>
            <w:sz w:val="14"/>
          </w:rPr>
          <w:t>,</w:t>
        </w:r>
        <w:r>
          <w:rPr>
            <w:rFonts w:ascii="Theinhardt Regular"/>
            <w:color w:val="231F20"/>
            <w:spacing w:val="37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pv@sundesign.ch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b/>
          <w:color w:val="231F20"/>
          <w:sz w:val="14"/>
        </w:rPr>
        <w:t> &amp; </w:t>
      </w:r>
      <w:r>
        <w:rPr>
          <w:rFonts w:ascii="Theinhardt Bold"/>
          <w:b/>
          <w:color w:val="231F20"/>
          <w:spacing w:val="2"/>
          <w:sz w:val="14"/>
        </w:rPr>
        <w:t>Batteriespeicher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Planeco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Solar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Tramstrasse</w:t>
      </w:r>
      <w:r>
        <w:rPr>
          <w:rFonts w:ascii="Theinhardt Regular" w:hAnsi="Theinhardt Regular"/>
          <w:color w:val="231F20"/>
          <w:sz w:val="14"/>
        </w:rPr>
        <w:t> 66, </w:t>
      </w:r>
      <w:r>
        <w:rPr>
          <w:rFonts w:ascii="Theinhardt Regular" w:hAnsi="Theinhardt Regular"/>
          <w:color w:val="231F20"/>
          <w:spacing w:val="-5"/>
          <w:sz w:val="14"/>
        </w:rPr>
        <w:t>4142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Münchenstein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8"/>
          <w:sz w:val="14"/>
        </w:rPr>
        <w:t>411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</w:t>
      </w:r>
      <w:hyperlink r:id="rId9">
        <w:r>
          <w:rPr>
            <w:rFonts w:ascii="Theinhardt Regular"/>
            <w:color w:val="231F20"/>
            <w:spacing w:val="-1"/>
            <w:sz w:val="14"/>
          </w:rPr>
          <w:t>3,</w:t>
        </w:r>
        <w:r>
          <w:rPr>
            <w:rFonts w:ascii="Theinhardt Regular"/>
            <w:color w:val="231F20"/>
            <w:sz w:val="14"/>
          </w:rPr>
          <w:t>  </w:t>
        </w:r>
        <w:r>
          <w:rPr>
            <w:rFonts w:ascii="Theinhardt Regular"/>
            <w:color w:val="231F20"/>
            <w:spacing w:val="1"/>
            <w:sz w:val="14"/>
          </w:rPr>
          <w:t>info@planeco.ch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PV-Module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ISSOL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Schweiz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Hänggiwiesstrasse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5,</w:t>
      </w:r>
      <w:r>
        <w:rPr>
          <w:rFonts w:ascii="Theinhardt Regular" w:hAnsi="Theinhardt Regular"/>
          <w:color w:val="231F20"/>
          <w:sz w:val="14"/>
        </w:rPr>
        <w:t> 8832 </w:t>
      </w:r>
      <w:r>
        <w:rPr>
          <w:rFonts w:ascii="Theinhardt Regular" w:hAnsi="Theinhardt Regular"/>
          <w:color w:val="231F20"/>
          <w:spacing w:val="1"/>
          <w:sz w:val="14"/>
        </w:rPr>
        <w:t>Wilen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bei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Wollerau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580</w:t>
      </w:r>
      <w:r>
        <w:rPr>
          <w:rFonts w:ascii="Theinhardt Regular"/>
          <w:color w:val="231F20"/>
          <w:sz w:val="14"/>
        </w:rPr>
        <w:t> 02 </w:t>
      </w:r>
      <w:r>
        <w:rPr>
          <w:rFonts w:ascii="Theinhardt Regular"/>
          <w:color w:val="231F20"/>
          <w:spacing w:val="1"/>
          <w:sz w:val="14"/>
        </w:rPr>
        <w:t>4</w:t>
      </w:r>
      <w:hyperlink r:id="rId10">
        <w:r>
          <w:rPr>
            <w:rFonts w:ascii="Theinhardt Regular"/>
            <w:color w:val="231F20"/>
            <w:spacing w:val="1"/>
            <w:sz w:val="14"/>
          </w:rPr>
          <w:t>4,</w:t>
        </w:r>
        <w:r>
          <w:rPr>
            <w:rFonts w:ascii="Theinhardt Regular"/>
            <w:color w:val="231F20"/>
            <w:spacing w:val="37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infopv@issol.ch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HLK-Planung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42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Su</w:t>
      </w:r>
      <w:r>
        <w:rPr>
          <w:rFonts w:ascii="Theinhardt Regular"/>
          <w:color w:val="231F20"/>
          <w:spacing w:val="5"/>
          <w:sz w:val="14"/>
        </w:rPr>
        <w:t>s</w:t>
      </w:r>
      <w:r>
        <w:rPr>
          <w:rFonts w:ascii="Theinhardt Regular"/>
          <w:color w:val="231F20"/>
          <w:spacing w:val="1"/>
          <w:sz w:val="14"/>
        </w:rPr>
        <w:t>t</w:t>
      </w:r>
      <w:r>
        <w:rPr>
          <w:rFonts w:ascii="Theinhardt Regular"/>
          <w:color w:val="231F20"/>
          <w:spacing w:val="2"/>
          <w:sz w:val="14"/>
        </w:rPr>
        <w:t>ec</w:t>
      </w:r>
      <w:r>
        <w:rPr>
          <w:rFonts w:ascii="Theinhardt Regular"/>
          <w:color w:val="231F20"/>
          <w:sz w:val="14"/>
        </w:rPr>
        <w:t>h </w:t>
      </w:r>
      <w:r>
        <w:rPr>
          <w:rFonts w:ascii="Theinhardt Regular"/>
          <w:color w:val="231F20"/>
          <w:spacing w:val="2"/>
          <w:sz w:val="14"/>
        </w:rPr>
        <w:t>GmbH</w:t>
      </w:r>
      <w:r>
        <w:rPr>
          <w:rFonts w:ascii="Theinhardt Regular"/>
          <w:color w:val="231F20"/>
          <w:spacing w:val="2"/>
          <w:sz w:val="14"/>
        </w:rPr>
        <w:t> Neuwiesenstrasse</w:t>
      </w:r>
      <w:r>
        <w:rPr>
          <w:rFonts w:ascii="Theinhardt Regular"/>
          <w:color w:val="231F20"/>
          <w:sz w:val="14"/>
        </w:rPr>
        <w:t> 8, </w:t>
      </w:r>
      <w:r>
        <w:rPr>
          <w:rFonts w:ascii="Theinhardt Regular"/>
          <w:color w:val="231F20"/>
          <w:spacing w:val="-2"/>
          <w:sz w:val="14"/>
        </w:rPr>
        <w:t>8610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Uster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130398pt;width:167.25pt;height:.45pt;mso-position-horizontal-relative:page;mso-position-vertical-relative:paragraph;z-index:1072" coordorigin="7710,203" coordsize="3345,9">
            <v:group style="position:absolute;left:7732;top:207;width:3311;height:2" coordorigin="7732,207" coordsize="3311,2">
              <v:shape style="position:absolute;left:7732;top:207;width:3311;height:2" coordorigin="7732,207" coordsize="3311,0" path="m7732,207l11042,207e" filled="false" stroked="true" strokeweight=".425pt" strokecolor="#231f20">
                <v:path arrowok="t"/>
                <v:stroke dashstyle="dash"/>
              </v:shape>
            </v:group>
            <v:group style="position:absolute;left:7714;top:207;width:2;height:2" coordorigin="7714,207" coordsize="2,2">
              <v:shape style="position:absolute;left:7714;top:207;width:2;height:2" coordorigin="7714,207" coordsize="0,0" path="m7714,207l7714,207e" filled="false" stroked="true" strokeweight=".425pt" strokecolor="#231f20">
                <v:path arrowok="t"/>
              </v:shape>
            </v:group>
            <v:group style="position:absolute;left:11051;top:207;width:2;height:2" coordorigin="11051,207" coordsize="2,2">
              <v:shape style="position:absolute;left:11051;top:207;width:2;height:2" coordorigin="11051,207" coordsize="0,0" path="m11051,207l11051,207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845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</w:t>
      </w:r>
      <w:hyperlink r:id="rId11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info@sustech.ch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9" w:space="112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76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7381" cy="429453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381" cy="429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line="184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63802" cy="2362200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802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61029" cy="234696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029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67" w:val="left" w:leader="none"/>
        </w:tabs>
        <w:spacing w:before="9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Fassade</w:t>
      </w:r>
      <w:r>
        <w:rPr>
          <w:rFonts w:ascii="Theinhardt Bold" w:hAnsi="Theinhardt Bold"/>
          <w:b/>
          <w:color w:val="231F20"/>
          <w:sz w:val="14"/>
        </w:rPr>
        <w:t> und Dach sind </w:t>
      </w:r>
      <w:r>
        <w:rPr>
          <w:rFonts w:ascii="Theinhardt Bold" w:hAnsi="Theinhardt Bold"/>
          <w:b/>
          <w:color w:val="231F20"/>
          <w:spacing w:val="-1"/>
          <w:sz w:val="14"/>
        </w:rPr>
        <w:t>vollständig</w:t>
      </w:r>
      <w:r>
        <w:rPr>
          <w:rFonts w:ascii="Theinhardt Bold" w:hAnsi="Theinhardt Bold"/>
          <w:b/>
          <w:color w:val="231F20"/>
          <w:sz w:val="14"/>
        </w:rPr>
        <w:t> mit </w:t>
      </w:r>
      <w:r>
        <w:rPr>
          <w:rFonts w:ascii="Theinhardt Bold" w:hAnsi="Theinhardt Bold"/>
          <w:b/>
          <w:color w:val="231F20"/>
          <w:spacing w:val="-1"/>
          <w:sz w:val="14"/>
        </w:rPr>
        <w:t>PV-Mo-</w:t>
      </w:r>
      <w:r>
        <w:rPr>
          <w:rFonts w:ascii="Theinhardt Bold" w:hAnsi="Theinhardt Bold"/>
          <w:b/>
          <w:color w:val="231F20"/>
          <w:spacing w:val="38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dulen</w:t>
      </w:r>
      <w:r>
        <w:rPr>
          <w:rFonts w:ascii="Theinhardt Bold" w:hAnsi="Theinhardt Bold"/>
          <w:b/>
          <w:color w:val="231F20"/>
          <w:sz w:val="14"/>
        </w:rPr>
        <w:t> belegt.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PV-Anlagen des MFH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produzieren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rund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41’900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3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Bei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Balkonen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ist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Holzkonstruktion</w:t>
      </w:r>
      <w:r>
        <w:rPr>
          <w:rFonts w:ascii="Theinhardt Bold" w:hAnsi="Theinhardt Bold"/>
          <w:b/>
          <w:color w:val="231F20"/>
          <w:sz w:val="14"/>
        </w:rPr>
        <w:t> des</w:t>
      </w:r>
      <w:r>
        <w:rPr>
          <w:rFonts w:ascii="Theinhardt Bold" w:hAnsi="Theinhardt Bold"/>
          <w:b/>
          <w:color w:val="231F20"/>
          <w:spacing w:val="55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Gebäudes in </w:t>
      </w:r>
      <w:r>
        <w:rPr>
          <w:rFonts w:ascii="Theinhardt Bold" w:hAnsi="Theinhardt Bold"/>
          <w:b/>
          <w:color w:val="231F20"/>
          <w:spacing w:val="-1"/>
          <w:sz w:val="14"/>
        </w:rPr>
        <w:t>Kombination</w:t>
      </w:r>
      <w:r>
        <w:rPr>
          <w:rFonts w:ascii="Theinhardt Bold" w:hAnsi="Theinhardt Bold"/>
          <w:b/>
          <w:color w:val="231F20"/>
          <w:sz w:val="14"/>
        </w:rPr>
        <w:t> mit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PV-Modulen</w:t>
      </w:r>
      <w:r>
        <w:rPr>
          <w:rFonts w:ascii="Theinhardt Bold" w:hAnsi="Theinhardt Bold"/>
          <w:b/>
          <w:color w:val="231F20"/>
          <w:spacing w:val="3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an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Balkonbrüstungen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2"/>
          <w:sz w:val="14"/>
        </w:rPr>
        <w:t>sichtbar.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302" w:space="270"/>
            <w:col w:w="3241" w:space="331"/>
            <w:col w:w="3566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77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kaempfen.ch" TargetMode="External"/><Relationship Id="rId7" Type="http://schemas.openxmlformats.org/officeDocument/2006/relationships/hyperlink" Target="mailto:info@smartenergylink.ch" TargetMode="External"/><Relationship Id="rId8" Type="http://schemas.openxmlformats.org/officeDocument/2006/relationships/hyperlink" Target="mailto:pv@sundesign.ch" TargetMode="External"/><Relationship Id="rId9" Type="http://schemas.openxmlformats.org/officeDocument/2006/relationships/hyperlink" Target="mailto:info@planeco.ch" TargetMode="External"/><Relationship Id="rId10" Type="http://schemas.openxmlformats.org/officeDocument/2006/relationships/hyperlink" Target="mailto:infopv@issol.ch" TargetMode="External"/><Relationship Id="rId11" Type="http://schemas.openxmlformats.org/officeDocument/2006/relationships/hyperlink" Target="mailto:info@sustech.ch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2019-10-04T10:08:37Z</dcterms:created>
  <dcterms:modified xsi:type="dcterms:W3CDTF">2019-10-04T10:08:37Z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