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52"/>
        <w:ind w:left="106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4.847289pt;width:.1pt;height:.1pt;mso-position-horizontal-relative:page;mso-position-vertical-relative:paragraph;z-index:-7816" coordorigin="571,297" coordsize="2,2">
            <v:shape style="position:absolute;left:571;top:297;width:2;height:2" coordorigin="571,297" coordsize="0,0" path="m571,297l571,29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847289pt;width:.1pt;height:.1pt;mso-position-horizontal-relative:page;mso-position-vertical-relative:paragraph;z-index:1096" coordorigin="3015,297" coordsize="2,2">
            <v:shape style="position:absolute;left:3015;top:297;width:2;height:2" coordorigin="3015,297" coordsize="0,0" path="m3015,297l3015,29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6.34729pt;width:.1pt;height:.1pt;mso-position-horizontal-relative:page;mso-position-vertical-relative:paragraph;z-index:-7768" coordorigin="571,527" coordsize="2,2">
            <v:shape style="position:absolute;left:571;top:527;width:2;height:2" coordorigin="571,527" coordsize="0,0" path="m571,527l571,52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6.34729pt;width:.1pt;height:.1pt;mso-position-horizontal-relative:page;mso-position-vertical-relative:paragraph;z-index:1144" coordorigin="3015,527" coordsize="2,2">
            <v:shape style="position:absolute;left:3015;top:527;width:2;height:2" coordorigin="3015,527" coordsize="0,0" path="m3015,527l3015,52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49.34729pt;width:.1pt;height:.1pt;mso-position-horizontal-relative:page;mso-position-vertical-relative:paragraph;z-index:1168" coordorigin="571,987" coordsize="2,2">
            <v:shape style="position:absolute;left:571;top:987;width:2;height:2" coordorigin="571,987" coordsize="0,0" path="m571,987l571,98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49.34729pt;width:.1pt;height:.1pt;mso-position-horizontal-relative:page;mso-position-vertical-relative:paragraph;z-index:1192" coordorigin="3015,987" coordsize="2,2">
            <v:shape style="position:absolute;left:3015;top:987;width:2;height:2" coordorigin="3015,987" coordsize="0,0" path="m3015,987l3015,98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28.346443pt;margin-top:53.39035pt;width:64.692734pt;height:26.111229pt;mso-position-horizontal-relative:page;mso-position-vertical-relative:paragraph;z-index:1216" type="#_x0000_t75" stroked="false">
            <v:imagedata r:id="rId5" o:title=""/>
          </v:shape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Catégorie 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6"/>
          <w:sz w:val="18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Bâtiments: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Rénovations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3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Prix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Solaire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Spécial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APF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Suisse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z w:val="18"/>
          <w:u w:val="dotted" w:color="231F20"/>
        </w:rPr>
        <w:t>2019</w:t>
      </w:r>
      <w:r>
        <w:rPr>
          <w:rFonts w:ascii="Theinhardt Regular" w:hAnsi="Theinhardt Regular"/>
          <w:color w:val="231F20"/>
          <w:sz w:val="18"/>
          <w:u w:val="dotted" w:color="231F20"/>
        </w:rPr>
        <w:t> </w:t>
        <w:tab/>
      </w:r>
      <w:r>
        <w:rPr>
          <w:rFonts w:ascii="Theinhardt Regular" w:hAnsi="Theinhardt Regular"/>
          <w:color w:val="231F20"/>
          <w:sz w:val="18"/>
        </w:rPr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6" w:right="101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Prévue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l’origine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pour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famille,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villa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Winkler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été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transformée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maison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deux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loge-</w:t>
      </w:r>
      <w:r>
        <w:rPr>
          <w:rFonts w:ascii="Theinhardt Bold" w:hAnsi="Theinhardt Bold" w:cs="Theinhardt Bold" w:eastAsia="Theinhardt Bold"/>
          <w:b/>
          <w:bCs/>
          <w:color w:val="231F20"/>
          <w:spacing w:val="5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ments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rénovée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énergétiquement.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Grâce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nouvelle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isolation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thermique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triple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vitrage,</w:t>
      </w:r>
      <w:r>
        <w:rPr>
          <w:rFonts w:ascii="Theinhardt Bold" w:hAnsi="Theinhardt Bold" w:cs="Theinhardt Bold" w:eastAsia="Theinhardt Bold"/>
          <w:b/>
          <w:bCs/>
          <w:color w:val="231F20"/>
          <w:spacing w:val="4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besoins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énergie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ont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diminué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50%,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passant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57’200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21’900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Intégrée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toute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surface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du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toit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côté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sud,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l’installation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fond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harmonieusement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dans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la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construction.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modules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disposés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comme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bardeaux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toit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carrés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sont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à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peine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re-</w:t>
      </w:r>
      <w:r>
        <w:rPr>
          <w:rFonts w:ascii="Theinhardt Bold" w:hAnsi="Theinhardt Bold" w:cs="Theinhardt Bold" w:eastAsia="Theinhardt Bold"/>
          <w:b/>
          <w:bCs/>
          <w:color w:val="231F20"/>
          <w:spacing w:val="5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connaissables.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Elle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génère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11’500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kWh/a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assure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ainsi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autoproduction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52%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énergie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5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solaire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zéro émission.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-2"/>
          <w:sz w:val="40"/>
        </w:rPr>
        <w:t>Ré</w:t>
      </w:r>
      <w:r>
        <w:rPr>
          <w:rFonts w:ascii="Theinhardt Black" w:hAnsi="Theinhardt Black"/>
          <w:b/>
          <w:color w:val="0067B1"/>
          <w:spacing w:val="-3"/>
          <w:sz w:val="40"/>
        </w:rPr>
        <w:t>n</w:t>
      </w:r>
      <w:r>
        <w:rPr>
          <w:rFonts w:ascii="Theinhardt Black" w:hAnsi="Theinhardt Black"/>
          <w:b/>
          <w:color w:val="0067B1"/>
          <w:spacing w:val="-4"/>
          <w:sz w:val="40"/>
        </w:rPr>
        <w:t>o</w:t>
      </w:r>
      <w:r>
        <w:rPr>
          <w:rFonts w:ascii="Theinhardt Black" w:hAnsi="Theinhardt Black"/>
          <w:b/>
          <w:color w:val="0067B1"/>
          <w:sz w:val="40"/>
        </w:rPr>
        <w:t>v</w:t>
      </w:r>
      <w:r>
        <w:rPr>
          <w:rFonts w:ascii="Theinhardt Black" w:hAnsi="Theinhardt Black"/>
          <w:b/>
          <w:color w:val="0067B1"/>
          <w:spacing w:val="6"/>
          <w:sz w:val="40"/>
        </w:rPr>
        <w:t>a</w:t>
      </w:r>
      <w:r>
        <w:rPr>
          <w:rFonts w:ascii="Theinhardt Black" w:hAnsi="Theinhardt Black"/>
          <w:b/>
          <w:color w:val="0067B1"/>
          <w:spacing w:val="-1"/>
          <w:sz w:val="40"/>
        </w:rPr>
        <w:t>t</w:t>
      </w:r>
      <w:r>
        <w:rPr>
          <w:rFonts w:ascii="Theinhardt Black" w:hAnsi="Theinhardt Black"/>
          <w:b/>
          <w:color w:val="0067B1"/>
          <w:spacing w:val="-2"/>
          <w:sz w:val="40"/>
        </w:rPr>
        <w:t>io</w:t>
      </w:r>
      <w:r>
        <w:rPr>
          <w:rFonts w:ascii="Theinhardt Black" w:hAnsi="Theinhardt Black"/>
          <w:b/>
          <w:color w:val="0067B1"/>
          <w:sz w:val="40"/>
        </w:rPr>
        <w:t>n</w:t>
      </w:r>
      <w:r>
        <w:rPr>
          <w:rFonts w:ascii="Theinhardt Black" w:hAnsi="Theinhardt Black"/>
          <w:b/>
          <w:color w:val="0067B1"/>
          <w:spacing w:val="-8"/>
          <w:sz w:val="40"/>
        </w:rPr>
        <w:t> </w:t>
      </w:r>
      <w:r>
        <w:rPr>
          <w:rFonts w:ascii="Theinhardt Black" w:hAnsi="Theinhardt Black"/>
          <w:b/>
          <w:color w:val="0067B1"/>
          <w:spacing w:val="8"/>
          <w:sz w:val="40"/>
        </w:rPr>
        <w:t>W</w:t>
      </w:r>
      <w:r>
        <w:rPr>
          <w:rFonts w:ascii="Theinhardt Black" w:hAnsi="Theinhardt Black"/>
          <w:b/>
          <w:color w:val="0067B1"/>
          <w:spacing w:val="-2"/>
          <w:sz w:val="40"/>
        </w:rPr>
        <w:t>in</w:t>
      </w:r>
      <w:r>
        <w:rPr>
          <w:rFonts w:ascii="Theinhardt Black" w:hAnsi="Theinhardt Black"/>
          <w:b/>
          <w:color w:val="0067B1"/>
          <w:spacing w:val="2"/>
          <w:sz w:val="40"/>
        </w:rPr>
        <w:t>k</w:t>
      </w:r>
      <w:r>
        <w:rPr>
          <w:rFonts w:ascii="Theinhardt Black" w:hAnsi="Theinhardt Black"/>
          <w:b/>
          <w:color w:val="0067B1"/>
          <w:spacing w:val="-2"/>
          <w:sz w:val="40"/>
        </w:rPr>
        <w:t>le</w:t>
      </w:r>
      <w:r>
        <w:rPr>
          <w:rFonts w:ascii="Theinhardt Black" w:hAnsi="Theinhardt Black"/>
          <w:b/>
          <w:color w:val="0067B1"/>
          <w:spacing w:val="-28"/>
          <w:sz w:val="40"/>
        </w:rPr>
        <w:t>r</w:t>
      </w:r>
      <w:r>
        <w:rPr>
          <w:rFonts w:ascii="Theinhardt Black" w:hAnsi="Theinhardt Black"/>
          <w:b/>
          <w:color w:val="0067B1"/>
          <w:sz w:val="40"/>
        </w:rPr>
        <w:t>,</w:t>
      </w:r>
      <w:r>
        <w:rPr>
          <w:rFonts w:ascii="Theinhardt Black" w:hAnsi="Theinhardt Black"/>
          <w:b/>
          <w:color w:val="0067B1"/>
          <w:spacing w:val="-32"/>
          <w:sz w:val="40"/>
        </w:rPr>
        <w:t> </w:t>
      </w:r>
      <w:r>
        <w:rPr>
          <w:rFonts w:ascii="Theinhardt Black" w:hAnsi="Theinhardt Black"/>
          <w:b/>
          <w:color w:val="0067B1"/>
          <w:spacing w:val="-4"/>
          <w:sz w:val="40"/>
        </w:rPr>
        <w:t>175</w:t>
      </w:r>
      <w:r>
        <w:rPr>
          <w:rFonts w:ascii="Theinhardt Black" w:hAnsi="Theinhardt Black"/>
          <w:b/>
          <w:color w:val="0067B1"/>
          <w:sz w:val="40"/>
        </w:rPr>
        <w:t>2</w:t>
      </w:r>
      <w:r>
        <w:rPr>
          <w:rFonts w:ascii="Theinhardt Black" w:hAnsi="Theinhardt Black"/>
          <w:b/>
          <w:color w:val="0067B1"/>
          <w:spacing w:val="-32"/>
          <w:sz w:val="40"/>
        </w:rPr>
        <w:t> </w:t>
      </w:r>
      <w:r>
        <w:rPr>
          <w:rFonts w:ascii="Theinhardt Black" w:hAnsi="Theinhardt Black"/>
          <w:b/>
          <w:color w:val="0067B1"/>
          <w:spacing w:val="10"/>
          <w:sz w:val="40"/>
        </w:rPr>
        <w:t>V</w:t>
      </w:r>
      <w:r>
        <w:rPr>
          <w:rFonts w:ascii="Theinhardt Black" w:hAnsi="Theinhardt Black"/>
          <w:b/>
          <w:color w:val="0067B1"/>
          <w:sz w:val="40"/>
        </w:rPr>
        <w:t>il</w:t>
      </w:r>
      <w:r>
        <w:rPr>
          <w:rFonts w:ascii="Theinhardt Black" w:hAnsi="Theinhardt Black"/>
          <w:b/>
          <w:color w:val="0067B1"/>
          <w:spacing w:val="2"/>
          <w:sz w:val="40"/>
        </w:rPr>
        <w:t>l</w:t>
      </w:r>
      <w:r>
        <w:rPr>
          <w:rFonts w:ascii="Theinhardt Black" w:hAnsi="Theinhardt Black"/>
          <w:b/>
          <w:color w:val="0067B1"/>
          <w:sz w:val="40"/>
        </w:rPr>
        <w:t>a</w:t>
      </w:r>
      <w:r>
        <w:rPr>
          <w:rFonts w:ascii="Theinhardt Black" w:hAnsi="Theinhardt Black"/>
          <w:b/>
          <w:color w:val="0067B1"/>
          <w:spacing w:val="12"/>
          <w:sz w:val="40"/>
        </w:rPr>
        <w:t>r</w:t>
      </w:r>
      <w:r>
        <w:rPr>
          <w:rFonts w:ascii="Theinhardt Black" w:hAnsi="Theinhardt Black"/>
          <w:b/>
          <w:color w:val="0067B1"/>
          <w:spacing w:val="-4"/>
          <w:sz w:val="40"/>
        </w:rPr>
        <w:t>s-</w:t>
      </w:r>
      <w:r>
        <w:rPr>
          <w:rFonts w:ascii="Theinhardt Black" w:hAnsi="Theinhardt Black"/>
          <w:b/>
          <w:color w:val="0067B1"/>
          <w:sz w:val="40"/>
        </w:rPr>
        <w:t>s</w:t>
      </w:r>
      <w:r>
        <w:rPr>
          <w:rFonts w:ascii="Theinhardt Black" w:hAnsi="Theinhardt Black"/>
          <w:b/>
          <w:color w:val="0067B1"/>
          <w:spacing w:val="-2"/>
          <w:sz w:val="40"/>
        </w:rPr>
        <w:t>u</w:t>
      </w:r>
      <w:r>
        <w:rPr>
          <w:rFonts w:ascii="Theinhardt Black" w:hAnsi="Theinhardt Black"/>
          <w:b/>
          <w:color w:val="0067B1"/>
          <w:spacing w:val="8"/>
          <w:sz w:val="40"/>
        </w:rPr>
        <w:t>r</w:t>
      </w:r>
      <w:r>
        <w:rPr>
          <w:rFonts w:ascii="Theinhardt Black" w:hAnsi="Theinhardt Black"/>
          <w:b/>
          <w:color w:val="0067B1"/>
          <w:spacing w:val="10"/>
          <w:sz w:val="40"/>
        </w:rPr>
        <w:t>-</w:t>
      </w:r>
      <w:r>
        <w:rPr>
          <w:rFonts w:ascii="Theinhardt Black" w:hAnsi="Theinhardt Black"/>
          <w:b/>
          <w:color w:val="0067B1"/>
          <w:spacing w:val="-2"/>
          <w:sz w:val="40"/>
        </w:rPr>
        <w:t>G</w:t>
      </w:r>
      <w:r>
        <w:rPr>
          <w:rFonts w:ascii="Theinhardt Black" w:hAnsi="Theinhardt Black"/>
          <w:b/>
          <w:color w:val="0067B1"/>
          <w:spacing w:val="2"/>
          <w:sz w:val="40"/>
        </w:rPr>
        <w:t>l</w:t>
      </w:r>
      <w:r>
        <w:rPr>
          <w:rFonts w:ascii="Theinhardt Black" w:hAnsi="Theinhardt Black"/>
          <w:b/>
          <w:color w:val="0067B1"/>
          <w:sz w:val="40"/>
        </w:rPr>
        <w:t>â</w:t>
      </w:r>
      <w:r>
        <w:rPr>
          <w:rFonts w:ascii="Theinhardt Black" w:hAnsi="Theinhardt Black"/>
          <w:b/>
          <w:color w:val="0067B1"/>
          <w:spacing w:val="-3"/>
          <w:sz w:val="40"/>
        </w:rPr>
        <w:t>n</w:t>
      </w:r>
      <w:r>
        <w:rPr>
          <w:rFonts w:ascii="Theinhardt Black" w:hAnsi="Theinhardt Black"/>
          <w:b/>
          <w:color w:val="0067B1"/>
          <w:spacing w:val="4"/>
          <w:sz w:val="40"/>
        </w:rPr>
        <w:t>e</w:t>
      </w:r>
      <w:r>
        <w:rPr>
          <w:rFonts w:ascii="Theinhardt Black" w:hAnsi="Theinhardt Black"/>
          <w:b/>
          <w:color w:val="0067B1"/>
          <w:spacing w:val="6"/>
          <w:sz w:val="40"/>
        </w:rPr>
        <w:t>/</w:t>
      </w:r>
      <w:r>
        <w:rPr>
          <w:rFonts w:ascii="Theinhardt Black" w:hAnsi="Theinhardt Black"/>
          <w:b/>
          <w:color w:val="0067B1"/>
          <w:spacing w:val="-6"/>
          <w:sz w:val="40"/>
        </w:rPr>
        <w:t>F</w:t>
      </w:r>
      <w:r>
        <w:rPr>
          <w:rFonts w:ascii="Theinhardt Black" w:hAnsi="Theinhardt Black"/>
          <w:b/>
          <w:color w:val="0067B1"/>
          <w:sz w:val="40"/>
        </w:rPr>
        <w:t>R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1"/>
        <w:spacing w:line="230" w:lineRule="exact" w:before="52"/>
        <w:ind w:right="8" w:firstLine="0"/>
        <w:jc w:val="both"/>
      </w:pPr>
      <w:r>
        <w:rPr>
          <w:color w:val="231F20"/>
          <w:spacing w:val="1"/>
        </w:rPr>
        <w:t>Bâtie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dans</w:t>
      </w:r>
      <w:r>
        <w:rPr>
          <w:color w:val="231F20"/>
          <w:spacing w:val="-14"/>
        </w:rPr>
        <w:t> </w:t>
      </w:r>
      <w:r>
        <w:rPr>
          <w:color w:val="231F20"/>
        </w:rPr>
        <w:t>les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années</w:t>
      </w:r>
      <w:r>
        <w:rPr>
          <w:color w:val="231F20"/>
          <w:spacing w:val="-14"/>
        </w:rPr>
        <w:t> </w:t>
      </w:r>
      <w:r>
        <w:rPr>
          <w:color w:val="231F20"/>
        </w:rPr>
        <w:t>1960,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villa</w:t>
      </w:r>
      <w:r>
        <w:rPr>
          <w:color w:val="231F20"/>
          <w:spacing w:val="-14"/>
        </w:rPr>
        <w:t> </w:t>
      </w:r>
      <w:r>
        <w:rPr>
          <w:color w:val="231F20"/>
        </w:rPr>
        <w:t>individu-</w:t>
      </w:r>
      <w:r>
        <w:rPr>
          <w:color w:val="231F20"/>
          <w:spacing w:val="29"/>
        </w:rPr>
        <w:t> </w:t>
      </w:r>
      <w:r>
        <w:rPr>
          <w:color w:val="231F20"/>
        </w:rPr>
        <w:t>elle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famille</w:t>
      </w:r>
      <w:r>
        <w:rPr>
          <w:color w:val="231F20"/>
          <w:spacing w:val="8"/>
        </w:rPr>
        <w:t> </w:t>
      </w:r>
      <w:r>
        <w:rPr>
          <w:color w:val="231F20"/>
        </w:rPr>
        <w:t>Winkler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été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transformée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maison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deux</w:t>
      </w:r>
      <w:r>
        <w:rPr>
          <w:color w:val="231F20"/>
          <w:spacing w:val="9"/>
        </w:rPr>
        <w:t> </w:t>
      </w:r>
      <w:r>
        <w:rPr>
          <w:color w:val="231F20"/>
        </w:rPr>
        <w:t>appartements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2018</w:t>
      </w:r>
      <w:r>
        <w:rPr>
          <w:color w:val="231F20"/>
          <w:spacing w:val="29"/>
        </w:rPr>
        <w:t> </w:t>
      </w:r>
      <w:r>
        <w:rPr>
          <w:color w:val="231F20"/>
        </w:rPr>
        <w:t>et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rénovée</w:t>
      </w:r>
      <w:r>
        <w:rPr>
          <w:color w:val="231F20"/>
          <w:spacing w:val="-23"/>
        </w:rPr>
        <w:t> </w:t>
      </w:r>
      <w:r>
        <w:rPr>
          <w:color w:val="231F20"/>
        </w:rPr>
        <w:t>sur</w:t>
      </w:r>
      <w:r>
        <w:rPr>
          <w:color w:val="231F20"/>
          <w:spacing w:val="-23"/>
        </w:rPr>
        <w:t> </w:t>
      </w:r>
      <w:r>
        <w:rPr>
          <w:color w:val="231F20"/>
        </w:rPr>
        <w:t>le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plan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énergétique.L’isolation</w:t>
      </w:r>
      <w:r>
        <w:rPr>
          <w:color w:val="231F20"/>
          <w:spacing w:val="31"/>
        </w:rPr>
        <w:t> </w:t>
      </w:r>
      <w:r>
        <w:rPr>
          <w:color w:val="231F20"/>
        </w:rPr>
        <w:t>thermique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extérieure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n’a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très</w:t>
      </w:r>
      <w:r>
        <w:rPr>
          <w:color w:val="231F20"/>
          <w:spacing w:val="-7"/>
        </w:rPr>
        <w:t> </w:t>
      </w:r>
      <w:r>
        <w:rPr>
          <w:color w:val="231F20"/>
        </w:rPr>
        <w:t>peu</w:t>
      </w:r>
      <w:r>
        <w:rPr>
          <w:color w:val="231F20"/>
          <w:spacing w:val="-7"/>
        </w:rPr>
        <w:t> </w:t>
      </w:r>
      <w:r>
        <w:rPr>
          <w:color w:val="231F20"/>
        </w:rPr>
        <w:t>modi-</w:t>
      </w:r>
      <w:r>
        <w:rPr>
          <w:color w:val="231F20"/>
          <w:spacing w:val="23"/>
        </w:rPr>
        <w:t> </w:t>
      </w:r>
      <w:r>
        <w:rPr>
          <w:color w:val="231F20"/>
        </w:rPr>
        <w:t>fié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l’architecture</w:t>
      </w:r>
      <w:r>
        <w:rPr>
          <w:color w:val="231F20"/>
          <w:spacing w:val="-10"/>
        </w:rPr>
        <w:t> </w:t>
      </w:r>
      <w:r>
        <w:rPr>
          <w:color w:val="231F20"/>
        </w:rPr>
        <w:t>existante.</w:t>
      </w:r>
      <w:r>
        <w:rPr>
          <w:color w:val="231F20"/>
          <w:spacing w:val="-2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lui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ajouté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26"/>
        </w:rPr>
        <w:t> </w:t>
      </w:r>
      <w:r>
        <w:rPr>
          <w:color w:val="231F20"/>
        </w:rPr>
        <w:t>cube aux lignes </w:t>
      </w:r>
      <w:r>
        <w:rPr>
          <w:color w:val="231F20"/>
          <w:spacing w:val="-2"/>
        </w:rPr>
        <w:t>sobres.</w:t>
      </w:r>
      <w:r>
        <w:rPr/>
      </w:r>
    </w:p>
    <w:p>
      <w:pPr>
        <w:spacing w:line="230" w:lineRule="exact" w:before="0"/>
        <w:ind w:left="106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Malgré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l’augmentation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du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nombre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ré-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sidents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une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plus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grande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surface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réfé-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rence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énergétique,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consommation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été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réduite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61%,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passant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57’200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à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21’935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vieux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système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chauffage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gaz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utilise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près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trois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quarts,</w:t>
      </w:r>
      <w:r>
        <w:rPr>
          <w:rFonts w:ascii="Theinhardt Regular" w:hAnsi="Theinhardt Regular" w:cs="Theinhardt Regular" w:eastAsia="Theinhardt Regular"/>
          <w:color w:val="231F20"/>
          <w:spacing w:val="-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mais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il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est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déjà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prévu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le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remplacer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par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une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pompe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à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chaleur.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Avec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coeffici-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ent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performance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(COP)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4,</w:t>
      </w:r>
      <w:r>
        <w:rPr>
          <w:rFonts w:ascii="Theinhardt Regular" w:hAnsi="Theinhardt Regular" w:cs="Theinhardt Regular" w:eastAsia="Theinhardt Regular"/>
          <w:color w:val="231F20"/>
          <w:spacing w:val="-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celle-ci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per-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mettrait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faire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évoluer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les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besoins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actuels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16’500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gaz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naturel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vers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4’125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de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courant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solaire.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Cette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mesure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au-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rait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aussi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impact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important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sur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l’approvisionnement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énergétique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du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bâti-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ment.</w:t>
      </w:r>
      <w:r>
        <w:rPr>
          <w:rFonts w:ascii="Theinhardt Regular" w:hAnsi="Theinhardt Regular" w:cs="Theinhardt Regular" w:eastAsia="Theinhardt Regular"/>
          <w:color w:val="231F20"/>
          <w:spacing w:val="-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Bien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intégrée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à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toute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surface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du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toit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côté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sud,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l’installation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PV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génère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11’500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couvre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moins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52%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con-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sommation.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remplaçant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le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gaz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par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le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sol-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eil,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les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besoins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énergie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seraient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10’000</w:t>
      </w:r>
      <w:r>
        <w:rPr>
          <w:rFonts w:ascii="Theinhardt Regular" w:hAnsi="Theinhardt Regular" w:cs="Theinhardt Regular" w:eastAsia="Theinhardt Regular"/>
          <w:color w:val="231F20"/>
          <w:spacing w:val="-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-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231F20"/>
          <w:spacing w:val="-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l’autoproduction</w:t>
      </w:r>
      <w:r>
        <w:rPr>
          <w:rFonts w:ascii="Theinhardt Regular" w:hAnsi="Theinhardt Regular" w:cs="Theinhardt Regular" w:eastAsia="Theinhardt Regular"/>
          <w:color w:val="231F20"/>
          <w:spacing w:val="-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s’élèverait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dès lors à 115%.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La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rénovation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la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villa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Winkler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montre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idéalement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comment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transformer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durable-</w:t>
      </w:r>
      <w:r>
        <w:rPr>
          <w:rFonts w:ascii="Theinhardt Regular" w:hAnsi="Theinhardt Regular"/>
          <w:color w:val="231F20"/>
          <w:spacing w:val="3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ment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une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maison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individuelle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habitat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bi-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familial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et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la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rénover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énergétiquement.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procédant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par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étapes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tout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tenant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compte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éléments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construction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en-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core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utilisables,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il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est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outre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possible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réaliser</w:t>
      </w:r>
      <w:r>
        <w:rPr>
          <w:rFonts w:ascii="Theinhardt Regular" w:hAnsi="Theinhardt Regular"/>
          <w:color w:val="231F20"/>
          <w:sz w:val="18"/>
        </w:rPr>
        <w:t> un </w:t>
      </w:r>
      <w:r>
        <w:rPr>
          <w:rFonts w:ascii="Theinhardt Regular" w:hAnsi="Theinhardt Regular"/>
          <w:color w:val="231F20"/>
          <w:spacing w:val="-1"/>
          <w:sz w:val="18"/>
        </w:rPr>
        <w:t>BEP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avec</w:t>
      </w:r>
      <w:r>
        <w:rPr>
          <w:rFonts w:ascii="Theinhardt Regular" w:hAnsi="Theinhardt Regular"/>
          <w:color w:val="231F20"/>
          <w:sz w:val="18"/>
        </w:rPr>
        <w:t> des </w:t>
      </w:r>
      <w:r>
        <w:rPr>
          <w:rFonts w:ascii="Theinhardt Regular" w:hAnsi="Theinhardt Regular"/>
          <w:color w:val="231F20"/>
          <w:spacing w:val="-1"/>
          <w:sz w:val="18"/>
        </w:rPr>
        <w:t>moyens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financiers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limités.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La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villa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Winkler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reçoit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pour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cela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le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Prix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Solaire</w:t>
      </w:r>
      <w:r>
        <w:rPr>
          <w:rFonts w:ascii="Theinhardt Regular" w:hAnsi="Theinhardt Regular"/>
          <w:color w:val="231F20"/>
          <w:sz w:val="18"/>
        </w:rPr>
        <w:t> Spécial </w:t>
      </w:r>
      <w:r>
        <w:rPr>
          <w:rFonts w:ascii="Theinhardt Regular" w:hAnsi="Theinhardt Regular"/>
          <w:color w:val="231F20"/>
          <w:spacing w:val="-1"/>
          <w:sz w:val="18"/>
        </w:rPr>
        <w:t>APF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Suisse</w:t>
      </w:r>
      <w:r>
        <w:rPr>
          <w:rFonts w:ascii="Theinhardt Regular" w:hAnsi="Theinhardt Regular"/>
          <w:color w:val="231F20"/>
          <w:sz w:val="18"/>
        </w:rPr>
        <w:t> 2019.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2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1"/>
        </w:rPr>
        <w:t>Das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ehemalige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Einfamilienhaus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Winkler</w:t>
      </w:r>
      <w:r>
        <w:rPr>
          <w:color w:val="231F20"/>
          <w:spacing w:val="15"/>
        </w:rPr>
        <w:t> </w:t>
      </w:r>
      <w:r>
        <w:rPr>
          <w:color w:val="231F20"/>
        </w:rPr>
        <w:t>aus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60er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Jahren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9"/>
        </w:rPr>
        <w:t> </w:t>
      </w:r>
      <w:r>
        <w:rPr>
          <w:color w:val="231F20"/>
        </w:rPr>
        <w:t>im</w:t>
      </w:r>
      <w:r>
        <w:rPr>
          <w:color w:val="231F20"/>
          <w:spacing w:val="9"/>
        </w:rPr>
        <w:t> </w:t>
      </w:r>
      <w:r>
        <w:rPr>
          <w:color w:val="231F20"/>
        </w:rPr>
        <w:t>Jahr</w:t>
      </w:r>
      <w:r>
        <w:rPr>
          <w:color w:val="231F20"/>
          <w:spacing w:val="9"/>
        </w:rPr>
        <w:t> </w:t>
      </w:r>
      <w:r>
        <w:rPr>
          <w:color w:val="231F20"/>
        </w:rPr>
        <w:t>2018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ein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Zweifamilienhaus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umgebaut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ener-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getisch</w:t>
      </w:r>
      <w:r>
        <w:rPr>
          <w:color w:val="231F20"/>
          <w:spacing w:val="-8"/>
        </w:rPr>
        <w:t> </w:t>
      </w:r>
      <w:r>
        <w:rPr>
          <w:color w:val="231F20"/>
        </w:rPr>
        <w:t>saniert.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Dabei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blieb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Ausdruck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bestehenden</w:t>
      </w:r>
      <w:r>
        <w:rPr>
          <w:color w:val="231F20"/>
        </w:rPr>
        <w:t> </w:t>
      </w:r>
      <w:r>
        <w:rPr>
          <w:color w:val="231F20"/>
          <w:spacing w:val="-2"/>
        </w:rPr>
        <w:t>Architektur,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trotz</w:t>
      </w:r>
      <w:r>
        <w:rPr>
          <w:color w:val="231F20"/>
        </w:rPr>
        <w:t> </w:t>
      </w:r>
      <w:r>
        <w:rPr>
          <w:color w:val="231F20"/>
          <w:spacing w:val="-1"/>
        </w:rPr>
        <w:t>aussenliegen-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Wärmedämmung,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weitgehend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erhalten.</w:t>
      </w:r>
      <w:r>
        <w:rPr>
          <w:color w:val="231F20"/>
          <w:spacing w:val="25"/>
        </w:rPr>
        <w:t> </w:t>
      </w:r>
      <w:r>
        <w:rPr>
          <w:color w:val="231F20"/>
        </w:rPr>
        <w:t>Ergänzt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Haus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einen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schnör-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kellosen</w:t>
      </w:r>
      <w:r>
        <w:rPr>
          <w:color w:val="231F20"/>
        </w:rPr>
        <w:t> </w:t>
      </w:r>
      <w:r>
        <w:rPr>
          <w:color w:val="231F20"/>
          <w:spacing w:val="-1"/>
        </w:rPr>
        <w:t>Kubus.</w:t>
      </w:r>
      <w:r>
        <w:rPr>
          <w:i w:val="0"/>
        </w:rPr>
      </w:r>
    </w:p>
    <w:p>
      <w:pPr>
        <w:pStyle w:val="BodyText"/>
        <w:spacing w:line="230" w:lineRule="exact"/>
        <w:ind w:right="0" w:firstLine="226"/>
        <w:jc w:val="both"/>
        <w:rPr>
          <w:i w:val="0"/>
        </w:rPr>
      </w:pPr>
      <w:r>
        <w:rPr>
          <w:color w:val="231F20"/>
          <w:spacing w:val="1"/>
        </w:rPr>
        <w:t>Der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Energiebedarf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konnte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trotz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ge-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stiegenen</w:t>
      </w:r>
      <w:r>
        <w:rPr>
          <w:color w:val="231F20"/>
          <w:spacing w:val="28"/>
        </w:rPr>
        <w:t> </w:t>
      </w:r>
      <w:r>
        <w:rPr>
          <w:color w:val="231F20"/>
        </w:rPr>
        <w:t>Anzahl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Bewohner/innen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grösseren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Energiebezugsfläche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49"/>
        </w:rPr>
        <w:t> </w:t>
      </w:r>
      <w:r>
        <w:rPr>
          <w:color w:val="231F20"/>
        </w:rPr>
        <w:t>57’200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kWh/a</w:t>
      </w:r>
      <w:r>
        <w:rPr>
          <w:color w:val="231F20"/>
          <w:spacing w:val="11"/>
        </w:rPr>
        <w:t> </w:t>
      </w:r>
      <w:r>
        <w:rPr>
          <w:color w:val="231F20"/>
        </w:rPr>
        <w:t>um</w:t>
      </w:r>
      <w:r>
        <w:rPr>
          <w:color w:val="231F20"/>
          <w:spacing w:val="11"/>
        </w:rPr>
        <w:t> </w:t>
      </w:r>
      <w:r>
        <w:rPr>
          <w:color w:val="231F20"/>
        </w:rPr>
        <w:t>61%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auf</w:t>
      </w:r>
      <w:r>
        <w:rPr>
          <w:color w:val="231F20"/>
          <w:spacing w:val="11"/>
        </w:rPr>
        <w:t> </w:t>
      </w:r>
      <w:r>
        <w:rPr>
          <w:color w:val="231F20"/>
        </w:rPr>
        <w:t>21’935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kWh/a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reduziert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werden.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alte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Gasheizung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macht</w:t>
      </w:r>
      <w:r>
        <w:rPr>
          <w:color w:val="231F20"/>
          <w:spacing w:val="22"/>
        </w:rPr>
        <w:t> </w:t>
      </w:r>
      <w:r>
        <w:rPr>
          <w:color w:val="231F20"/>
        </w:rPr>
        <w:t>dabei</w:t>
      </w:r>
      <w:r>
        <w:rPr>
          <w:color w:val="231F20"/>
          <w:spacing w:val="22"/>
        </w:rPr>
        <w:t> </w:t>
      </w:r>
      <w:r>
        <w:rPr>
          <w:color w:val="231F20"/>
        </w:rPr>
        <w:t>etwa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drei</w:t>
      </w:r>
      <w:r>
        <w:rPr>
          <w:color w:val="231F20"/>
          <w:spacing w:val="15"/>
        </w:rPr>
        <w:t> </w:t>
      </w:r>
      <w:r>
        <w:rPr>
          <w:color w:val="231F20"/>
        </w:rPr>
        <w:t>Viertel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22"/>
        </w:rPr>
        <w:t> </w:t>
      </w:r>
      <w:r>
        <w:rPr>
          <w:color w:val="231F20"/>
        </w:rPr>
        <w:t>Gesamt-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energiebedarfs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aus.</w:t>
      </w:r>
      <w:r>
        <w:rPr>
          <w:color w:val="231F20"/>
          <w:spacing w:val="-17"/>
        </w:rPr>
        <w:t> </w:t>
      </w:r>
      <w:r>
        <w:rPr>
          <w:color w:val="231F20"/>
          <w:spacing w:val="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diese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jedoch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bald</w:t>
      </w:r>
      <w:r>
        <w:rPr>
          <w:color w:val="231F20"/>
          <w:spacing w:val="-10"/>
        </w:rPr>
        <w:t> </w:t>
      </w:r>
      <w:r>
        <w:rPr>
          <w:color w:val="231F20"/>
        </w:rPr>
        <w:t>am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Ende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ihrer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Lebensdauer</w:t>
      </w:r>
      <w:r>
        <w:rPr>
          <w:color w:val="231F20"/>
          <w:spacing w:val="-15"/>
        </w:rPr>
        <w:t> </w:t>
      </w:r>
      <w:r>
        <w:rPr>
          <w:color w:val="231F20"/>
        </w:rPr>
        <w:t>ist,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wird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sie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abseh-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barer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Zeit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Wärmepumpe</w:t>
      </w:r>
      <w:r>
        <w:rPr>
          <w:color w:val="231F20"/>
          <w:spacing w:val="11"/>
        </w:rPr>
        <w:t> </w:t>
      </w:r>
      <w:r>
        <w:rPr>
          <w:color w:val="231F20"/>
        </w:rPr>
        <w:t>ersetzt.</w:t>
      </w:r>
      <w:r>
        <w:rPr>
          <w:color w:val="231F20"/>
          <w:spacing w:val="29"/>
        </w:rPr>
        <w:t> </w:t>
      </w:r>
      <w:r>
        <w:rPr>
          <w:color w:val="231F20"/>
        </w:rPr>
        <w:t>Bei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einem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durchschnittlichen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Coefficient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Performance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(COP)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Wärmepumpe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vier,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könnte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aktuelle</w:t>
      </w:r>
      <w:r>
        <w:rPr>
          <w:color w:val="231F20"/>
          <w:spacing w:val="37"/>
        </w:rPr>
        <w:t> </w:t>
      </w:r>
      <w:r>
        <w:rPr>
          <w:color w:val="231F20"/>
        </w:rPr>
        <w:t>Erdgasbedarf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30"/>
        </w:rPr>
        <w:t> </w:t>
      </w:r>
      <w:r>
        <w:rPr>
          <w:color w:val="231F20"/>
        </w:rPr>
        <w:t>16’500</w:t>
      </w:r>
      <w:r>
        <w:rPr>
          <w:color w:val="231F20"/>
          <w:spacing w:val="-3"/>
        </w:rPr>
        <w:t> kWh/a </w:t>
      </w:r>
      <w:r>
        <w:rPr>
          <w:color w:val="231F20"/>
          <w:spacing w:val="-2"/>
        </w:rPr>
        <w:t>durch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einen</w:t>
      </w:r>
      <w:r>
        <w:rPr>
          <w:color w:val="231F20"/>
          <w:spacing w:val="-3"/>
        </w:rPr>
        <w:t> </w:t>
      </w:r>
      <w:r>
        <w:rPr>
          <w:color w:val="231F20"/>
        </w:rPr>
        <w:t>Strombedarf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29"/>
        </w:rPr>
        <w:t> </w:t>
      </w:r>
      <w:r>
        <w:rPr>
          <w:color w:val="231F20"/>
        </w:rPr>
        <w:t>4’125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kWh/a</w:t>
      </w:r>
      <w:r>
        <w:rPr>
          <w:color w:val="231F20"/>
          <w:spacing w:val="33"/>
        </w:rPr>
        <w:t> </w:t>
      </w:r>
      <w:r>
        <w:rPr>
          <w:color w:val="231F20"/>
        </w:rPr>
        <w:t>substituiert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werden.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Diese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Massnahme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hätte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auch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starke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Auswir-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kung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auf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Eigenenergieversorgung.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lie-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fert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vorbildlich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ganzflächig</w:t>
      </w:r>
      <w:r>
        <w:rPr>
          <w:color w:val="231F20"/>
          <w:spacing w:val="31"/>
        </w:rPr>
        <w:t> </w:t>
      </w:r>
      <w:r>
        <w:rPr>
          <w:color w:val="231F20"/>
        </w:rPr>
        <w:t>in</w:t>
      </w:r>
      <w:r>
        <w:rPr>
          <w:color w:val="231F20"/>
          <w:spacing w:val="31"/>
        </w:rPr>
        <w:t> </w:t>
      </w:r>
      <w:r>
        <w:rPr>
          <w:color w:val="231F20"/>
        </w:rPr>
        <w:t>das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Süd-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dach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integrierte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PV-Anlage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jährlich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rund</w:t>
      </w:r>
      <w:r>
        <w:rPr>
          <w:color w:val="231F20"/>
          <w:spacing w:val="31"/>
        </w:rPr>
        <w:t> </w:t>
      </w:r>
      <w:r>
        <w:rPr>
          <w:color w:val="231F20"/>
        </w:rPr>
        <w:t>11’500</w:t>
      </w:r>
      <w:r>
        <w:rPr>
          <w:color w:val="231F20"/>
          <w:spacing w:val="36"/>
        </w:rPr>
        <w:t> </w:t>
      </w:r>
      <w:r>
        <w:rPr>
          <w:color w:val="231F20"/>
        </w:rPr>
        <w:t>kWh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-freien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Solarstrom.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Damit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deckt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sie</w:t>
      </w:r>
      <w:r>
        <w:rPr>
          <w:color w:val="231F20"/>
          <w:spacing w:val="36"/>
        </w:rPr>
        <w:t> </w:t>
      </w:r>
      <w:r>
        <w:rPr>
          <w:color w:val="231F20"/>
        </w:rPr>
        <w:t>gut</w:t>
      </w:r>
      <w:r>
        <w:rPr>
          <w:color w:val="231F20"/>
          <w:spacing w:val="35"/>
        </w:rPr>
        <w:t> </w:t>
      </w:r>
      <w:r>
        <w:rPr>
          <w:color w:val="231F20"/>
        </w:rPr>
        <w:t>52%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Gesamtenergiebe-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darfs.</w:t>
      </w:r>
      <w:r>
        <w:rPr>
          <w:color w:val="231F20"/>
          <w:spacing w:val="-13"/>
        </w:rPr>
        <w:t> </w:t>
      </w:r>
      <w:r>
        <w:rPr>
          <w:color w:val="231F20"/>
        </w:rPr>
        <w:t>Im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Wärmepumpe</w:t>
      </w:r>
      <w:r>
        <w:rPr>
          <w:color w:val="231F20"/>
          <w:spacing w:val="-5"/>
        </w:rPr>
        <w:t> </w:t>
      </w:r>
      <w:r>
        <w:rPr>
          <w:color w:val="231F20"/>
        </w:rPr>
        <w:t>anstatt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Gasheizung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würden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Gesamtenergiebe-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darf</w:t>
      </w:r>
      <w:r>
        <w:rPr>
          <w:color w:val="231F20"/>
          <w:spacing w:val="5"/>
        </w:rPr>
        <w:t> </w:t>
      </w:r>
      <w:r>
        <w:rPr>
          <w:color w:val="231F20"/>
        </w:rPr>
        <w:t>bei</w:t>
      </w:r>
      <w:r>
        <w:rPr>
          <w:color w:val="231F20"/>
          <w:spacing w:val="5"/>
        </w:rPr>
        <w:t> </w:t>
      </w:r>
      <w:r>
        <w:rPr>
          <w:color w:val="231F20"/>
        </w:rPr>
        <w:t>etwa</w:t>
      </w:r>
      <w:r>
        <w:rPr>
          <w:color w:val="231F20"/>
          <w:spacing w:val="5"/>
        </w:rPr>
        <w:t> </w:t>
      </w:r>
      <w:r>
        <w:rPr>
          <w:color w:val="231F20"/>
        </w:rPr>
        <w:t>10’000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kWh/a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Eigen-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energieversorgung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PV-Anlage</w:t>
      </w:r>
      <w:r>
        <w:rPr>
          <w:color w:val="231F20"/>
          <w:spacing w:val="21"/>
        </w:rPr>
        <w:t> </w:t>
      </w:r>
      <w:r>
        <w:rPr>
          <w:color w:val="231F20"/>
        </w:rPr>
        <w:t>bei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rund</w:t>
      </w:r>
      <w:r>
        <w:rPr>
          <w:color w:val="231F20"/>
        </w:rPr>
        <w:t> 115% </w:t>
      </w:r>
      <w:r>
        <w:rPr>
          <w:color w:val="231F20"/>
          <w:spacing w:val="-2"/>
        </w:rPr>
        <w:t>liegen.</w:t>
      </w:r>
      <w:r>
        <w:rPr>
          <w:i w:val="0"/>
        </w:rPr>
      </w:r>
    </w:p>
    <w:p>
      <w:pPr>
        <w:pStyle w:val="BodyText"/>
        <w:spacing w:line="230" w:lineRule="exact"/>
        <w:ind w:right="5" w:firstLine="226"/>
        <w:jc w:val="both"/>
        <w:rPr>
          <w:i w:val="0"/>
        </w:rPr>
      </w:pPr>
      <w:r>
        <w:rPr>
          <w:color w:val="231F20"/>
          <w:spacing w:val="-1"/>
        </w:rPr>
        <w:t>Die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Sanierung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«Maison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Winkler»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zeigt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exemplarisch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auf,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wie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möglich</w:t>
      </w:r>
      <w:r>
        <w:rPr>
          <w:color w:val="231F20"/>
          <w:spacing w:val="-4"/>
        </w:rPr>
        <w:t> </w:t>
      </w:r>
      <w:r>
        <w:rPr>
          <w:color w:val="231F20"/>
        </w:rPr>
        <w:t>ist,</w:t>
      </w:r>
      <w:r>
        <w:rPr>
          <w:color w:val="231F20"/>
          <w:spacing w:val="-11"/>
        </w:rPr>
        <w:t> </w:t>
      </w:r>
      <w:r>
        <w:rPr>
          <w:color w:val="231F20"/>
        </w:rPr>
        <w:t>ein</w:t>
      </w:r>
      <w:r>
        <w:rPr>
          <w:color w:val="231F20"/>
          <w:spacing w:val="-4"/>
        </w:rPr>
        <w:t> </w:t>
      </w:r>
      <w:r>
        <w:rPr>
          <w:color w:val="231F20"/>
        </w:rPr>
        <w:t>Ein-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familienhaus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nachhaltig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ein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Zweifamilien-</w:t>
      </w:r>
      <w:r>
        <w:rPr>
          <w:color w:val="231F20"/>
          <w:spacing w:val="51"/>
        </w:rPr>
        <w:t> </w:t>
      </w:r>
      <w:r>
        <w:rPr>
          <w:color w:val="231F20"/>
        </w:rPr>
        <w:t>haus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umzuwandeln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energetisch</w:t>
      </w:r>
      <w:r>
        <w:rPr>
          <w:color w:val="231F20"/>
          <w:spacing w:val="-15"/>
        </w:rPr>
        <w:t> </w:t>
      </w:r>
      <w:r>
        <w:rPr>
          <w:color w:val="231F20"/>
        </w:rPr>
        <w:t>zu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sanie-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ren.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Durch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mehrere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Sanierungstappen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unter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Berücksichtigung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noch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funktio-</w:t>
      </w:r>
      <w:r>
        <w:rPr>
          <w:i w:val="0"/>
        </w:rPr>
      </w:r>
    </w:p>
    <w:p>
      <w:pPr>
        <w:spacing w:before="76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 w:hAnsi="Theinhardt Black"/>
          <w:b/>
          <w:color w:val="231F20"/>
          <w:spacing w:val="1"/>
          <w:sz w:val="14"/>
        </w:rPr>
        <w:t>Données</w:t>
      </w:r>
      <w:r>
        <w:rPr>
          <w:rFonts w:ascii="Theinhardt Black" w:hAnsi="Theinhardt Black"/>
          <w:b/>
          <w:color w:val="231F20"/>
          <w:sz w:val="14"/>
        </w:rPr>
        <w:t> techniques</w:t>
      </w:r>
      <w:r>
        <w:rPr>
          <w:rFonts w:ascii="Theinhardt Black" w:hAns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Isolation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thermique</w:t>
      </w:r>
      <w:r>
        <w:rPr>
          <w:rFonts w:ascii="Theinhardt Bold"/>
          <w:sz w:val="14"/>
        </w:rPr>
      </w:r>
    </w:p>
    <w:p>
      <w:pPr>
        <w:tabs>
          <w:tab w:pos="1191" w:val="left" w:leader="none"/>
          <w:tab w:pos="264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Mur:</w:t>
        <w:tab/>
      </w:r>
      <w:r>
        <w:rPr>
          <w:rFonts w:ascii="Theinhardt Regular"/>
          <w:color w:val="231F20"/>
          <w:sz w:val="14"/>
        </w:rPr>
        <w:t>20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Valeur U:</w:t>
        <w:tab/>
        <w:t>0.20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93" w:val="left" w:leader="none"/>
          <w:tab w:pos="2663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Toit:</w:t>
        <w:tab/>
        <w:t>28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Valeur U:</w:t>
        <w:tab/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99" w:val="left" w:leader="none"/>
          <w:tab w:pos="2640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Sol:</w:t>
        <w:tab/>
      </w:r>
      <w:r>
        <w:rPr>
          <w:rFonts w:ascii="Theinhardt Regular" w:hAnsi="Theinhardt Regular"/>
          <w:color w:val="231F20"/>
          <w:spacing w:val="-4"/>
          <w:sz w:val="14"/>
        </w:rPr>
        <w:t>18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cm</w:t>
      </w:r>
      <w:r>
        <w:rPr>
          <w:rFonts w:ascii="Theinhardt Regular" w:hAnsi="Theinhardt Regular"/>
          <w:color w:val="231F20"/>
          <w:sz w:val="14"/>
        </w:rPr>
        <w:t>  </w:t>
      </w:r>
      <w:r>
        <w:rPr>
          <w:rFonts w:ascii="Theinhardt Regular" w:hAnsi="Theinhardt Regular"/>
          <w:color w:val="231F20"/>
          <w:spacing w:val="1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Valeur U:</w:t>
        <w:tab/>
      </w:r>
      <w:r>
        <w:rPr>
          <w:rFonts w:ascii="Theinhardt Regular" w:hAnsi="Theinhardt Regular"/>
          <w:color w:val="231F20"/>
          <w:spacing w:val="-5"/>
          <w:sz w:val="14"/>
        </w:rPr>
        <w:t>0.19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  <w:r>
        <w:rPr>
          <w:rFonts w:ascii="Theinhardt Regular" w:hAnsi="Theinhardt Regular"/>
          <w:color w:val="231F20"/>
          <w:spacing w:val="27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Fênetre:</w:t>
      </w:r>
      <w:r>
        <w:rPr>
          <w:rFonts w:ascii="Theinhardt Regular" w:hAnsi="Theinhardt Regular"/>
          <w:color w:val="231F20"/>
          <w:sz w:val="14"/>
        </w:rPr>
        <w:t>   </w:t>
      </w:r>
      <w:r>
        <w:rPr>
          <w:rFonts w:ascii="Theinhardt Regular" w:hAnsi="Theinhardt Regular"/>
          <w:color w:val="231F20"/>
          <w:spacing w:val="1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triple-vitrage</w:t>
      </w:r>
      <w:r>
        <w:rPr>
          <w:rFonts w:ascii="Theinhardt Regular" w:hAnsi="Theinhardt Regular"/>
          <w:color w:val="231F20"/>
          <w:sz w:val="14"/>
        </w:rPr>
        <w:t>  </w:t>
      </w:r>
      <w:r>
        <w:rPr>
          <w:rFonts w:ascii="Theinhardt Regular" w:hAnsi="Theinhardt Regular"/>
          <w:color w:val="231F20"/>
          <w:spacing w:val="1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Valeur U:</w:t>
        <w:tab/>
        <w:t>0.90</w:t>
      </w:r>
      <w:r>
        <w:rPr>
          <w:rFonts w:ascii="Theinhardt Regular" w:hAnsi="Theinhardt Regular"/>
          <w:color w:val="231F20"/>
          <w:spacing w:val="1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  <w:r>
        <w:rPr>
          <w:rFonts w:ascii="Theinhardt Regular" w:hAnsi="Theinhardt Regular"/>
          <w:sz w:val="14"/>
        </w:rPr>
      </w:r>
    </w:p>
    <w:p>
      <w:pPr>
        <w:spacing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Besoin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énergie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avant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rénovation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[100%|261%]</w:t>
      </w:r>
      <w:r>
        <w:rPr>
          <w:rFonts w:ascii="Theinhardt Bold" w:hAnsi="Theinhardt Bold"/>
          <w:sz w:val="14"/>
        </w:rPr>
      </w: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3"/>
          <w:szCs w:val="3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771"/>
        <w:gridCol w:w="458"/>
        <w:gridCol w:w="657"/>
      </w:tblGrid>
      <w:tr>
        <w:trPr>
          <w:trHeight w:val="113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SRE: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4"/>
                <w:sz w:val="14"/>
              </w:rPr>
              <w:t>274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2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9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Eau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chaude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sanitaire: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1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13.9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3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3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’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"/>
                <w:sz w:val="14"/>
                <w:szCs w:val="14"/>
              </w:rPr>
              <w:t>8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4"/>
                <w:sz w:val="14"/>
                <w:szCs w:val="14"/>
              </w:rPr>
              <w:t>0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Besoin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de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chaleur: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3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173.0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8</w:t>
            </w:r>
            <w:r>
              <w:rPr>
                <w:rFonts w:ascii="Theinhardt Regular"/>
                <w:color w:val="231F20"/>
                <w:sz w:val="14"/>
              </w:rPr>
              <w:t>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47’400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Electricité: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2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21.9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6’000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52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Total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besoins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énerg.: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312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20</w:t>
            </w:r>
            <w:r>
              <w:rPr>
                <w:rFonts w:ascii="Theinhardt Bold"/>
                <w:b/>
                <w:color w:val="231F20"/>
                <w:spacing w:val="3"/>
                <w:sz w:val="14"/>
              </w:rPr>
              <w:t>8.</w:t>
            </w:r>
            <w:r>
              <w:rPr>
                <w:rFonts w:ascii="Theinhardt Bold"/>
                <w:b/>
                <w:color w:val="231F20"/>
                <w:sz w:val="14"/>
              </w:rPr>
              <w:t>8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7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13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57’200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217" w:hRule="exact"/>
        </w:trPr>
        <w:tc>
          <w:tcPr>
            <w:tcW w:w="3398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44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Besoin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en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énergie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après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rénovation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[38%|100%]</w:t>
            </w:r>
            <w:r>
              <w:rPr>
                <w:rFonts w:ascii="Theinhardt Bold" w:hAnsi="Theinhardt Bold"/>
                <w:sz w:val="14"/>
              </w:rPr>
            </w:r>
          </w:p>
        </w:tc>
      </w:tr>
      <w:tr>
        <w:trPr>
          <w:trHeight w:val="168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SRE:</w:t>
            </w:r>
            <w:r>
              <w:rPr>
                <w:rFonts w:ascii="Theinhardt Regular"/>
                <w:color w:val="231F20"/>
                <w:sz w:val="14"/>
              </w:rPr>
              <w:t> 296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2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9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Eau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chaude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sanitaire: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9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8.4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7"/>
                <w:sz w:val="14"/>
              </w:rPr>
              <w:t>11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2’500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Besoin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de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chaleur: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1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56.7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75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7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5"/>
                <w:sz w:val="14"/>
                <w:szCs w:val="14"/>
              </w:rPr>
              <w:t>16’475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Electricité: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1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10.0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2’960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32" w:hRule="exact"/>
        </w:trPr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Total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besoins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énerg.: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418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6"/>
                <w:sz w:val="14"/>
              </w:rPr>
              <w:t>74.1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7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14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1"/>
                <w:sz w:val="14"/>
                <w:szCs w:val="14"/>
              </w:rPr>
              <w:t>21’935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72" w:lineRule="exact" w:before="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Alimentation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énergétique</w:t>
      </w:r>
      <w:r>
        <w:rPr>
          <w:rFonts w:ascii="Theinhardt Bold" w:hAnsi="Theinhardt Bold"/>
          <w:sz w:val="14"/>
        </w:rPr>
      </w:r>
    </w:p>
    <w:p>
      <w:pPr>
        <w:tabs>
          <w:tab w:pos="885" w:val="left" w:leader="none"/>
          <w:tab w:pos="1418" w:val="left" w:leader="none"/>
          <w:tab w:pos="1975" w:val="left" w:leader="none"/>
          <w:tab w:pos="2492" w:val="left" w:leader="none"/>
          <w:tab w:pos="2953" w:val="left" w:leader="none"/>
        </w:tabs>
        <w:spacing w:line="207" w:lineRule="auto" w:before="5"/>
        <w:ind w:left="106" w:right="165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Autoprod.: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1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PV-Toit.: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155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21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73.9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11’450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29" w:val="left" w:leader="none"/>
          <w:tab w:pos="2992" w:val="left" w:leader="none"/>
        </w:tabs>
        <w:spacing w:line="172" w:lineRule="exact" w:before="38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pacing w:val="-2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énergétique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(énergie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finale)</w:t>
        <w:tab/>
      </w:r>
      <w:r>
        <w:rPr>
          <w:rFonts w:ascii="Theinhardt Regular" w:hAnsi="Theinhardt Regular"/>
          <w:color w:val="231F20"/>
          <w:sz w:val="14"/>
        </w:rPr>
        <w:t>%</w:t>
        <w:tab/>
      </w:r>
      <w:r>
        <w:rPr>
          <w:rFonts w:ascii="Theinhardt Regular" w:hAnsi="Theinhardt Regular"/>
          <w:color w:val="231F20"/>
          <w:spacing w:val="-1"/>
          <w:sz w:val="14"/>
        </w:rPr>
        <w:t>kWh/a</w:t>
      </w:r>
      <w:r>
        <w:rPr>
          <w:rFonts w:ascii="Theinhardt Regular" w:hAnsi="Theinhardt Regular"/>
          <w:sz w:val="14"/>
        </w:rPr>
      </w:r>
    </w:p>
    <w:p>
      <w:pPr>
        <w:tabs>
          <w:tab w:pos="2492" w:val="left" w:leader="none"/>
          <w:tab w:pos="2953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Alimentation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énergétique: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11’450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  <w:tab w:pos="295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Total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besoins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énerg.: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21’935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90" w:val="left" w:leader="none"/>
          <w:tab w:pos="2953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Apport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d'énergie: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48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10’485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60" w:lineRule="exact" w:before="39"/>
        <w:ind w:left="106" w:right="10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Confirmé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par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Groupe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 </w:t>
      </w:r>
      <w:r>
        <w:rPr>
          <w:rFonts w:ascii="Theinhardt Bold" w:hAnsi="Theinhardt Bold"/>
          <w:b/>
          <w:color w:val="231F20"/>
          <w:spacing w:val="1"/>
          <w:sz w:val="14"/>
        </w:rPr>
        <w:t>SA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le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18</w:t>
      </w:r>
      <w:r>
        <w:rPr>
          <w:rFonts w:ascii="Theinhardt Regular" w:hAnsi="Theinhardt Regular"/>
          <w:color w:val="231F20"/>
          <w:sz w:val="14"/>
        </w:rPr>
        <w:t> juin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2019,</w:t>
      </w:r>
      <w:r>
        <w:rPr>
          <w:rFonts w:ascii="Theinhardt Regular" w:hAnsi="Theinhardt Regular"/>
          <w:color w:val="231F20"/>
          <w:sz w:val="14"/>
        </w:rPr>
        <w:t> Mar-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chand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Jérôme,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352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50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83</w:t>
      </w:r>
      <w:r>
        <w:rPr>
          <w:rFonts w:ascii="Theinhardt Regular" w:hAnsi="Theinhardt Regular"/>
          <w:sz w:val="14"/>
        </w:rPr>
      </w:r>
    </w:p>
    <w:p>
      <w:pPr>
        <w:spacing w:before="105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 w:hAnsi="Theinhardt Black"/>
          <w:b/>
          <w:color w:val="231F20"/>
          <w:spacing w:val="1"/>
          <w:sz w:val="14"/>
        </w:rPr>
        <w:t>Personnes</w:t>
      </w:r>
      <w:r>
        <w:rPr>
          <w:rFonts w:ascii="Theinhardt Black" w:hAnsi="Theinhardt Black"/>
          <w:b/>
          <w:color w:val="231F20"/>
          <w:sz w:val="14"/>
        </w:rPr>
        <w:t> impliquées:</w:t>
      </w:r>
      <w:r>
        <w:rPr>
          <w:rFonts w:ascii="Theinhardt Black" w:hAns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Adresse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de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l'installation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Maison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Winkler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Route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Berra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1752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Villars-sur-Glâne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Architectes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82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Atelier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d’architecture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Lutz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Associés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Sàrl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Rue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Jean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Prouvé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14,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1762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Givisiez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</w:t>
      </w:r>
      <w:r>
        <w:rPr>
          <w:rFonts w:ascii="Theinhardt Regular" w:hAnsi="Theinhardt Regular"/>
          <w:color w:val="231F20"/>
          <w:sz w:val="14"/>
        </w:rPr>
        <w:t> 469 </w:t>
      </w:r>
      <w:r>
        <w:rPr>
          <w:rFonts w:ascii="Theinhardt Regular" w:hAnsi="Theinhardt Regular"/>
          <w:color w:val="231F20"/>
          <w:spacing w:val="-5"/>
          <w:sz w:val="14"/>
        </w:rPr>
        <w:t>74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00</w:t>
      </w:r>
      <w:hyperlink r:id="rId6">
        <w:r>
          <w:rPr>
            <w:rFonts w:ascii="Theinhardt Regular" w:hAnsi="Theinhardt Regular"/>
            <w:color w:val="231F20"/>
            <w:spacing w:val="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2"/>
            <w:sz w:val="14"/>
          </w:rPr>
          <w:t>office@lutz-architectes.ch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Ingénieur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physique</w:t>
      </w:r>
      <w:r>
        <w:rPr>
          <w:rFonts w:ascii="Theinhardt Bold" w:hAnsi="Theinhardt Bold"/>
          <w:b/>
          <w:color w:val="231F20"/>
          <w:sz w:val="14"/>
        </w:rPr>
        <w:t> du </w:t>
      </w:r>
      <w:r>
        <w:rPr>
          <w:rFonts w:ascii="Theinhardt Bold" w:hAnsi="Theinhardt Bold"/>
          <w:b/>
          <w:color w:val="231F20"/>
          <w:spacing w:val="1"/>
          <w:sz w:val="14"/>
        </w:rPr>
        <w:t>bâtiment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Effiteam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Sàrl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Jean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Prouvé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14,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1762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Givisiez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470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00</w:t>
      </w:r>
      <w:hyperlink r:id="rId7">
        <w:r>
          <w:rPr>
            <w:rFonts w:ascii="Theinhardt Regular" w:hAnsi="Theinhardt Regular"/>
            <w:color w:val="231F20"/>
            <w:spacing w:val="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info@effiteam.ch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Installation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photovoltaïque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Ackermann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Chännelmattstrasse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7"/>
          <w:sz w:val="14"/>
        </w:rPr>
        <w:t>11,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3186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Düdingen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</w:t>
      </w:r>
      <w:r>
        <w:rPr>
          <w:rFonts w:ascii="Theinhardt Regular" w:hAnsi="Theinhardt Regular"/>
          <w:color w:val="231F20"/>
          <w:sz w:val="14"/>
        </w:rPr>
        <w:t> 492 55 </w:t>
      </w:r>
      <w:r>
        <w:rPr>
          <w:rFonts w:ascii="Theinhardt Regular" w:hAnsi="Theinhardt Regular"/>
          <w:color w:val="231F20"/>
          <w:spacing w:val="1"/>
          <w:sz w:val="14"/>
        </w:rPr>
        <w:t>88</w:t>
      </w:r>
      <w:hyperlink r:id="rId8">
        <w:r>
          <w:rPr>
            <w:rFonts w:ascii="Theinhardt Regular" w:hAnsi="Theinhardt Regular"/>
            <w:color w:val="231F20"/>
            <w:spacing w:val="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office@ackermannag.ch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Cha</w:t>
      </w:r>
      <w:r>
        <w:rPr>
          <w:rFonts w:ascii="Theinhardt Bold"/>
          <w:b/>
          <w:color w:val="231F20"/>
          <w:spacing w:val="1"/>
          <w:sz w:val="14"/>
        </w:rPr>
        <w:t>r</w:t>
      </w:r>
      <w:r>
        <w:rPr>
          <w:rFonts w:ascii="Theinhardt Bold"/>
          <w:b/>
          <w:color w:val="231F20"/>
          <w:spacing w:val="2"/>
          <w:sz w:val="14"/>
        </w:rPr>
        <w:t>pen</w:t>
      </w:r>
      <w:r>
        <w:rPr>
          <w:rFonts w:ascii="Theinhardt Bold"/>
          <w:b/>
          <w:color w:val="231F20"/>
          <w:spacing w:val="3"/>
          <w:sz w:val="14"/>
        </w:rPr>
        <w:t>t</w:t>
      </w:r>
      <w:r>
        <w:rPr>
          <w:rFonts w:ascii="Theinhardt Bold"/>
          <w:b/>
          <w:color w:val="231F20"/>
          <w:spacing w:val="2"/>
          <w:sz w:val="14"/>
        </w:rPr>
        <w:t>ier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87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Gutknecht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Holzbau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Pra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Pury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3280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Murten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672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91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91</w:t>
      </w:r>
      <w:hyperlink r:id="rId9">
        <w:r>
          <w:rPr>
            <w:rFonts w:ascii="Theinhardt Regular" w:hAnsi="Theinhardt Regular"/>
            <w:color w:val="231F20"/>
            <w:spacing w:val="-4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2"/>
            <w:sz w:val="14"/>
          </w:rPr>
          <w:t>info@gutknecht.ch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Entreprise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maçonnerie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Frutiger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Fribourg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Route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Daillettes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1709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Fribourg</w:t>
      </w:r>
      <w:r>
        <w:rPr>
          <w:rFonts w:ascii="Theinhardt Regular"/>
          <w:sz w:val="14"/>
        </w:rPr>
      </w:r>
    </w:p>
    <w:p>
      <w:pPr>
        <w:spacing w:line="131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Tél: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58 </w:t>
      </w:r>
      <w:r>
        <w:rPr>
          <w:rFonts w:ascii="Theinhardt Regular" w:hAnsi="Theinhardt Regular"/>
          <w:color w:val="231F20"/>
          <w:spacing w:val="-1"/>
          <w:sz w:val="14"/>
        </w:rPr>
        <w:t>226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81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81</w:t>
      </w:r>
      <w:hyperlink r:id="rId10">
        <w:r>
          <w:rPr>
            <w:rFonts w:ascii="Theinhardt Regular" w:hAnsi="Theinhardt Regular"/>
            <w:color w:val="231F20"/>
            <w:spacing w:val="-4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fribourg@frutiger.com</w:t>
        </w:r>
        <w:r>
          <w:rPr>
            <w:rFonts w:ascii="Theinhardt Regular" w:hAnsi="Theinhardt Regular"/>
            <w:sz w:val="14"/>
          </w:rPr>
        </w:r>
      </w:hyperlink>
    </w:p>
    <w:p>
      <w:pPr>
        <w:spacing w:after="0" w:line="131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9"/>
            <w:col w:w="3460" w:space="112"/>
            <w:col w:w="3566"/>
          </w:cols>
        </w:sectPr>
      </w:pPr>
    </w:p>
    <w:p>
      <w:pPr>
        <w:pStyle w:val="BodyText"/>
        <w:tabs>
          <w:tab w:pos="10582" w:val="left" w:leader="none"/>
        </w:tabs>
        <w:spacing w:line="195" w:lineRule="exact"/>
        <w:ind w:left="3678" w:right="0"/>
        <w:jc w:val="both"/>
        <w:rPr>
          <w:i w:val="0"/>
        </w:rPr>
      </w:pPr>
      <w:r>
        <w:rPr/>
        <w:pict>
          <v:group style="position:absolute;margin-left:385.511902pt;margin-top:3.887208pt;width:167.25pt;height:.45pt;mso-position-horizontal-relative:page;mso-position-vertical-relative:paragraph;z-index:-7648" coordorigin="7710,78" coordsize="3345,9">
            <v:group style="position:absolute;left:7732;top:82;width:3311;height:2" coordorigin="7732,82" coordsize="3311,2">
              <v:shape style="position:absolute;left:7732;top:82;width:3311;height:2" coordorigin="7732,82" coordsize="3311,0" path="m7732,82l11042,82e" filled="false" stroked="true" strokeweight=".425pt" strokecolor="#231f20">
                <v:path arrowok="t"/>
                <v:stroke dashstyle="dash"/>
              </v:shape>
            </v:group>
            <v:group style="position:absolute;left:7714;top:82;width:2;height:2" coordorigin="7714,82" coordsize="2,2">
              <v:shape style="position:absolute;left:7714;top:82;width:2;height:2" coordorigin="7714,82" coordsize="0,0" path="m7714,82l7714,82e" filled="false" stroked="true" strokeweight=".425pt" strokecolor="#231f20">
                <v:path arrowok="t"/>
              </v:shape>
            </v:group>
            <v:group style="position:absolute;left:11051;top:82;width:2;height:2" coordorigin="11051,82" coordsize="2,2">
              <v:shape style="position:absolute;left:11051;top:82;width:2;height:2" coordorigin="11051,82" coordsize="0,0" path="m11051,82l11051,82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color w:val="231F20"/>
          <w:spacing w:val="-2"/>
        </w:rPr>
        <w:t>nierenden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Bauteile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kann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auch</w:t>
      </w:r>
      <w:r>
        <w:rPr>
          <w:color w:val="231F20"/>
          <w:spacing w:val="20"/>
        </w:rPr>
        <w:t> </w:t>
      </w:r>
      <w:r>
        <w:rPr>
          <w:color w:val="231F20"/>
        </w:rPr>
        <w:t>mit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begrenz-</w:t>
      </w:r>
      <w:r>
        <w:rPr>
          <w:color w:val="231F20"/>
        </w:rPr>
        <w:t>    </w:t>
      </w:r>
      <w:r>
        <w:rPr>
          <w:color w:val="231F20"/>
          <w:spacing w:val="5"/>
        </w:rPr>
        <w:t> </w:t>
      </w:r>
      <w:r>
        <w:rPr>
          <w:color w:val="231F20"/>
        </w:rPr>
        <w:t> </w:t>
        <w:tab/>
      </w:r>
      <w:r>
        <w:rPr>
          <w:i w:val="0"/>
        </w:rPr>
      </w:r>
    </w:p>
    <w:p>
      <w:pPr>
        <w:pStyle w:val="BodyText"/>
        <w:spacing w:line="232" w:lineRule="auto" w:before="1"/>
        <w:ind w:left="3678" w:right="3680"/>
        <w:jc w:val="both"/>
        <w:rPr>
          <w:i w:val="0"/>
        </w:rPr>
      </w:pPr>
      <w:r>
        <w:rPr>
          <w:color w:val="231F20"/>
          <w:spacing w:val="-2"/>
        </w:rPr>
        <w:t>ten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finanziellen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Mitteln</w:t>
      </w:r>
      <w:r>
        <w:rPr>
          <w:color w:val="231F20"/>
          <w:spacing w:val="28"/>
        </w:rPr>
        <w:t> </w:t>
      </w:r>
      <w:r>
        <w:rPr>
          <w:color w:val="231F20"/>
        </w:rPr>
        <w:t>ein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PlusEnergieBau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realisiert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werden.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erhält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deshalb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HEV-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Sondersolarpreis</w:t>
      </w:r>
      <w:r>
        <w:rPr>
          <w:color w:val="231F20"/>
        </w:rPr>
        <w:t> 2019.</w:t>
      </w:r>
      <w:r>
        <w:rPr>
          <w:i w:val="0"/>
        </w:rPr>
      </w: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13"/>
        <w:rPr>
          <w:rFonts w:ascii="Theinhardt Regular Italic" w:hAnsi="Theinhardt Regular Italic" w:cs="Theinhardt Regular Italic" w:eastAsia="Theinhardt Regular Italic"/>
          <w:i/>
          <w:sz w:val="17"/>
          <w:szCs w:val="17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70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16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569831" cy="5992749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831" cy="59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240" w:lineRule="auto" w:before="12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before="68"/>
        <w:ind w:left="124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73" w:val="left" w:leader="none"/>
        </w:tabs>
        <w:spacing w:line="200" w:lineRule="atLeast"/>
        <w:ind w:left="116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6"/>
          <w:sz w:val="20"/>
        </w:rPr>
        <w:drawing>
          <wp:inline distT="0" distB="0" distL="0" distR="0">
            <wp:extent cx="3201947" cy="2517648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47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6"/>
          <w:sz w:val="20"/>
        </w:rPr>
      </w:r>
      <w:r>
        <w:rPr>
          <w:rFonts w:ascii="Theinhardt Bold"/>
          <w:position w:val="6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59506" cy="2545080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506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73" w:val="left" w:leader="none"/>
        </w:tabs>
        <w:spacing w:before="54"/>
        <w:ind w:left="124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12"/>
          <w:szCs w:val="12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2"/>
          <w:szCs w:val="12"/>
        </w:rPr>
        <w:sectPr>
          <w:pgSz w:w="11910" w:h="16840"/>
          <w:pgMar w:top="860" w:bottom="280" w:left="720" w:right="460"/>
        </w:sectPr>
      </w:pPr>
    </w:p>
    <w:p>
      <w:pPr>
        <w:numPr>
          <w:ilvl w:val="0"/>
          <w:numId w:val="1"/>
        </w:numPr>
        <w:tabs>
          <w:tab w:pos="341" w:val="left" w:leader="none"/>
        </w:tabs>
        <w:spacing w:line="160" w:lineRule="exact" w:before="76"/>
        <w:ind w:left="340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nouvelle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installation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génère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11’500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5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et couvre au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moins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52%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la consommation.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1" w:val="left" w:leader="none"/>
        </w:tabs>
        <w:spacing w:line="160" w:lineRule="exact" w:before="76"/>
        <w:ind w:left="340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Vue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aérienne: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L’installation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est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bien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intégrée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à toute la surface du toit côté sud.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1" w:val="left" w:leader="none"/>
        </w:tabs>
        <w:spacing w:before="68"/>
        <w:ind w:left="340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La</w:t>
      </w:r>
      <w:r>
        <w:rPr>
          <w:rFonts w:ascii="Theinhardt Bold" w:hAnsi="Theinhardt Bold"/>
          <w:b/>
          <w:color w:val="231F20"/>
          <w:sz w:val="14"/>
        </w:rPr>
        <w:t> maison </w:t>
      </w:r>
      <w:r>
        <w:rPr>
          <w:rFonts w:ascii="Theinhardt Bold" w:hAnsi="Theinhardt Bold"/>
          <w:b/>
          <w:color w:val="231F20"/>
          <w:spacing w:val="-1"/>
          <w:sz w:val="14"/>
        </w:rPr>
        <w:t>Winkler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avant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rénovation.</w:t>
      </w:r>
      <w:r>
        <w:rPr>
          <w:rFonts w:ascii="Theinhardt Bold" w:hAnsi="Theinhardt Bold"/>
          <w:sz w:val="14"/>
        </w:rPr>
      </w:r>
    </w:p>
    <w:p>
      <w:pPr>
        <w:spacing w:after="0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20" w:right="460"/>
          <w:cols w:num="3" w:equalWidth="0">
            <w:col w:w="3448" w:space="124"/>
            <w:col w:w="3386" w:space="186"/>
            <w:col w:w="3586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8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71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0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1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25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06" w:firstLine="22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office@lutz-architectes.ch" TargetMode="External"/><Relationship Id="rId7" Type="http://schemas.openxmlformats.org/officeDocument/2006/relationships/hyperlink" Target="mailto:info@effiteam.ch" TargetMode="External"/><Relationship Id="rId8" Type="http://schemas.openxmlformats.org/officeDocument/2006/relationships/hyperlink" Target="mailto:office@ackermannag.ch" TargetMode="External"/><Relationship Id="rId9" Type="http://schemas.openxmlformats.org/officeDocument/2006/relationships/hyperlink" Target="mailto:info@gutknecht.ch" TargetMode="External"/><Relationship Id="rId10" Type="http://schemas.openxmlformats.org/officeDocument/2006/relationships/hyperlink" Target="mailto:fribourg@frutiger.com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2019-10-04T10:07:30Z</dcterms:created>
  <dcterms:modified xsi:type="dcterms:W3CDTF">2019-10-04T10:07:30Z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2019-10-04T00:00:00Z</vt:filetime>
  </property>
</Properties>
</file>