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28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3.647326pt;width:.1pt;height:.1pt;mso-position-horizontal-relative:page;mso-position-vertical-relative:paragraph;z-index:-6352" coordorigin="855,273" coordsize="2,2">
            <v:shape style="position:absolute;left:855;top:273;width:2;height:2" coordorigin="855,273" coordsize="0,0" path="m855,273l85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13.647326pt;width:.1pt;height:.1pt;mso-position-horizontal-relative:page;mso-position-vertical-relative:paragraph;z-index:1120" coordorigin="3298,273" coordsize="2,2">
            <v:shape style="position:absolute;left:3298;top:273;width:2;height:2" coordorigin="3298,273" coordsize="0,0" path="m3298,273l3298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7323pt;margin-top:25.147326pt;width:.1pt;height:.1pt;mso-position-horizontal-relative:page;mso-position-vertical-relative:paragraph;z-index:-6304" coordorigin="855,503" coordsize="2,2">
            <v:shape style="position:absolute;left:855;top:503;width:2;height:2" coordorigin="855,503" coordsize="0,0" path="m855,503l855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147326pt;width:.1pt;height:.1pt;mso-position-horizontal-relative:page;mso-position-vertical-relative:paragraph;z-index:1168" coordorigin="3298,503" coordsize="2,2">
            <v:shape style="position:absolute;left:3298;top:503;width:2;height:2" coordorigin="3298,503" coordsize="0,0" path="m3298,503l3298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42.520302pt;margin-top:52.976925pt;width:82.2043pt;height:60.2048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2019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10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1962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Lamoth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Wilen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Wollerau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zwei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Etappen</w:t>
      </w:r>
      <w:r>
        <w:rPr>
          <w:rFonts w:ascii="Theinhardt Bold" w:hAnsi="Theinhardt Bold" w:cs="Theinhardt Bold" w:eastAsia="Theinhardt Bold"/>
          <w:b/>
          <w:bCs/>
          <w:color w:val="231F20"/>
          <w:spacing w:val="7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2010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2018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saniert.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ersten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Etappe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erhielt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EFH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neue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Gebäudehülle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5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5m</w:t>
      </w:r>
      <w:r>
        <w:rPr>
          <w:rFonts w:ascii="Theinhardt Bold" w:hAnsi="Theinhardt Bold" w:cs="Theinhardt Bold" w:eastAsia="Theinhardt Bold"/>
          <w:b/>
          <w:bCs/>
          <w:color w:val="231F20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grossen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Solarthermie-Anlage.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2’600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Wärmeenergie.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Nach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zweiten</w:t>
      </w:r>
      <w:r>
        <w:rPr>
          <w:rFonts w:ascii="Theinhardt Bold" w:hAnsi="Theinhardt Bold" w:cs="Theinhardt Bold" w:eastAsia="Theinhardt Bold"/>
          <w:b/>
          <w:bCs/>
          <w:color w:val="231F20"/>
          <w:spacing w:val="8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Sanierungsetappe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ersetzt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Luftwärmepumpe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alte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Ölheizung.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Flachdach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instal-</w:t>
      </w:r>
      <w:r>
        <w:rPr>
          <w:rFonts w:ascii="Theinhardt Bold" w:hAnsi="Theinhardt Bold" w:cs="Theinhardt Bold" w:eastAsia="Theinhardt Bold"/>
          <w:b/>
          <w:bCs/>
          <w:color w:val="231F20"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lierte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8.7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PV-Anlage.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9’200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-freien</w:t>
      </w:r>
      <w:r>
        <w:rPr>
          <w:rFonts w:ascii="Theinhardt Bold" w:hAnsi="Theinhardt Bold" w:cs="Theinhardt Bold" w:eastAsia="Theinhardt Bold"/>
          <w:b/>
          <w:bCs/>
          <w:color w:val="231F20"/>
          <w:spacing w:val="7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Strom.</w:t>
      </w:r>
      <w:r>
        <w:rPr>
          <w:rFonts w:ascii="Theinhardt Bold" w:hAnsi="Theinhardt Bold" w:cs="Theinhardt Bold" w:eastAsia="Theinhardt Bold"/>
          <w:b/>
          <w:bCs/>
          <w:color w:val="231F20"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sank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Sanierungsmassnahmen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62’200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83%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10’300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liegt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11’800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deckt</w:t>
      </w:r>
      <w:r>
        <w:rPr>
          <w:rFonts w:ascii="Theinhardt Bold" w:hAnsi="Theinhardt Bold" w:cs="Theinhardt Bold" w:eastAsia="Theinhardt Bold"/>
          <w:b/>
          <w:bCs/>
          <w:color w:val="231F20"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somit 114% des Energiebedarfs.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1"/>
          <w:sz w:val="40"/>
        </w:rPr>
        <w:t>114%-PlusEnergie-EFH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Sanierung,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z w:val="40"/>
        </w:rPr>
        <w:t>8832 </w:t>
      </w:r>
      <w:r>
        <w:rPr>
          <w:rFonts w:ascii="Theinhardt Black"/>
          <w:b/>
          <w:color w:val="0067B1"/>
          <w:spacing w:val="3"/>
          <w:sz w:val="40"/>
        </w:rPr>
        <w:t>Wollerau/SZ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0" w:lineRule="exact"/>
        <w:ind w:right="0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PlusEnergie-Sanierung</w:t>
      </w:r>
      <w:r>
        <w:rPr>
          <w:color w:val="231F20"/>
          <w:spacing w:val="-3"/>
        </w:rPr>
        <w:t> </w:t>
      </w:r>
      <w:r>
        <w:rPr>
          <w:color w:val="231F20"/>
        </w:rPr>
        <w:t>des</w:t>
      </w:r>
      <w:r>
        <w:rPr>
          <w:color w:val="231F20"/>
          <w:spacing w:val="-3"/>
        </w:rPr>
        <w:t> </w:t>
      </w:r>
      <w:r>
        <w:rPr>
          <w:color w:val="231F20"/>
        </w:rPr>
        <w:t>Einfamilien-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hauses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(EFH)</w:t>
      </w:r>
      <w:r>
        <w:rPr>
          <w:color w:val="231F20"/>
          <w:spacing w:val="10"/>
        </w:rPr>
        <w:t> </w:t>
      </w:r>
      <w:r>
        <w:rPr>
          <w:color w:val="231F20"/>
        </w:rPr>
        <w:t>inkl.</w:t>
      </w:r>
      <w:r>
        <w:rPr>
          <w:color w:val="231F20"/>
          <w:spacing w:val="-1"/>
        </w:rPr>
        <w:t> </w:t>
      </w:r>
      <w:r>
        <w:rPr>
          <w:color w:val="231F20"/>
        </w:rPr>
        <w:t>eines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Büros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Wilen</w:t>
      </w:r>
      <w:r>
        <w:rPr>
          <w:color w:val="231F20"/>
          <w:spacing w:val="10"/>
        </w:rPr>
        <w:t> </w:t>
      </w:r>
      <w:r>
        <w:rPr>
          <w:color w:val="231F20"/>
        </w:rPr>
        <w:t>bei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Wollerau</w:t>
      </w:r>
      <w:r>
        <w:rPr>
          <w:color w:val="231F20"/>
          <w:spacing w:val="1"/>
        </w:rPr>
        <w:t> </w:t>
      </w:r>
      <w:r>
        <w:rPr>
          <w:color w:val="231F20"/>
        </w:rPr>
        <w:t>erfolgte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zwei</w:t>
      </w:r>
      <w:r>
        <w:rPr>
          <w:color w:val="231F20"/>
          <w:spacing w:val="1"/>
        </w:rPr>
        <w:t> </w:t>
      </w:r>
      <w:r>
        <w:rPr>
          <w:color w:val="231F20"/>
        </w:rPr>
        <w:t>Etappen,</w:t>
      </w:r>
      <w:r>
        <w:rPr>
          <w:color w:val="231F20"/>
          <w:spacing w:val="39"/>
        </w:rPr>
        <w:t> </w:t>
      </w:r>
      <w:r>
        <w:rPr>
          <w:color w:val="231F20"/>
        </w:rPr>
        <w:t>2010</w:t>
      </w:r>
      <w:r>
        <w:rPr>
          <w:color w:val="231F20"/>
          <w:spacing w:val="30"/>
        </w:rPr>
        <w:t> </w:t>
      </w:r>
      <w:r>
        <w:rPr>
          <w:color w:val="231F20"/>
        </w:rPr>
        <w:t>und</w:t>
      </w:r>
      <w:r>
        <w:rPr>
          <w:color w:val="231F20"/>
          <w:spacing w:val="-7"/>
        </w:rPr>
        <w:t> </w:t>
      </w:r>
      <w:r>
        <w:rPr>
          <w:color w:val="231F20"/>
        </w:rPr>
        <w:t>2018.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Durch</w:t>
      </w:r>
      <w:r>
        <w:rPr>
          <w:color w:val="231F20"/>
          <w:spacing w:val="-7"/>
        </w:rPr>
        <w:t> </w:t>
      </w:r>
      <w:r>
        <w:rPr>
          <w:color w:val="231F20"/>
        </w:rPr>
        <w:t>das</w:t>
      </w:r>
      <w:r>
        <w:rPr>
          <w:color w:val="231F20"/>
          <w:spacing w:val="-7"/>
        </w:rPr>
        <w:t> </w:t>
      </w:r>
      <w:r>
        <w:rPr>
          <w:color w:val="231F20"/>
        </w:rPr>
        <w:t>schrittweise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Vorgehen</w:t>
      </w:r>
      <w:r>
        <w:rPr>
          <w:color w:val="231F20"/>
          <w:spacing w:val="29"/>
        </w:rPr>
        <w:t> </w:t>
      </w:r>
      <w:r>
        <w:rPr>
          <w:color w:val="231F20"/>
        </w:rPr>
        <w:t>über</w:t>
      </w:r>
      <w:r>
        <w:rPr>
          <w:color w:val="231F20"/>
          <w:spacing w:val="24"/>
        </w:rPr>
        <w:t> </w:t>
      </w:r>
      <w:r>
        <w:rPr>
          <w:color w:val="231F20"/>
        </w:rPr>
        <w:t>einen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längeren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Zeitraum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konnte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öko-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nomisch</w:t>
      </w:r>
      <w:r>
        <w:rPr>
          <w:color w:val="231F20"/>
          <w:spacing w:val="11"/>
        </w:rPr>
        <w:t> </w:t>
      </w:r>
      <w:r>
        <w:rPr>
          <w:color w:val="231F20"/>
        </w:rPr>
        <w:t>und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technisch</w:t>
      </w:r>
      <w:r>
        <w:rPr>
          <w:color w:val="231F20"/>
          <w:spacing w:val="11"/>
        </w:rPr>
        <w:t> </w:t>
      </w:r>
      <w:r>
        <w:rPr>
          <w:color w:val="231F20"/>
        </w:rPr>
        <w:t>ein</w:t>
      </w:r>
      <w:r>
        <w:rPr>
          <w:color w:val="231F20"/>
          <w:spacing w:val="11"/>
        </w:rPr>
        <w:t> </w:t>
      </w:r>
      <w:r>
        <w:rPr>
          <w:color w:val="231F20"/>
        </w:rPr>
        <w:t>optimiertes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Sa-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nierungskonzept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erarbeitet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werden.</w:t>
      </w:r>
      <w:r>
        <w:rPr>
          <w:color w:val="231F20"/>
          <w:spacing w:val="40"/>
        </w:rPr>
        <w:t> </w:t>
      </w:r>
      <w:r>
        <w:rPr>
          <w:color w:val="231F20"/>
        </w:rPr>
        <w:t>2010</w:t>
      </w:r>
      <w:r>
        <w:rPr>
          <w:color w:val="231F20"/>
          <w:spacing w:val="37"/>
        </w:rPr>
        <w:t> </w:t>
      </w:r>
      <w:r>
        <w:rPr>
          <w:color w:val="231F20"/>
        </w:rPr>
        <w:t>erfolgte</w:t>
      </w:r>
      <w:r>
        <w:rPr>
          <w:color w:val="231F20"/>
          <w:spacing w:val="37"/>
        </w:rPr>
        <w:t> </w:t>
      </w:r>
      <w:r>
        <w:rPr>
          <w:color w:val="231F20"/>
        </w:rPr>
        <w:t>die</w:t>
      </w:r>
      <w:r>
        <w:rPr>
          <w:color w:val="231F20"/>
          <w:spacing w:val="38"/>
        </w:rPr>
        <w:t> </w:t>
      </w:r>
      <w:r>
        <w:rPr>
          <w:color w:val="231F20"/>
        </w:rPr>
        <w:t>Sanierung</w:t>
      </w:r>
      <w:r>
        <w:rPr>
          <w:color w:val="231F20"/>
          <w:spacing w:val="37"/>
        </w:rPr>
        <w:t> </w:t>
      </w:r>
      <w:r>
        <w:rPr>
          <w:color w:val="231F20"/>
        </w:rPr>
        <w:t>der</w:t>
      </w:r>
      <w:r>
        <w:rPr>
          <w:color w:val="231F20"/>
          <w:spacing w:val="38"/>
        </w:rPr>
        <w:t> </w:t>
      </w:r>
      <w:r>
        <w:rPr>
          <w:color w:val="231F20"/>
        </w:rPr>
        <w:t>Gebäudehülle,</w:t>
      </w:r>
      <w:r>
        <w:rPr>
          <w:color w:val="231F20"/>
          <w:spacing w:val="26"/>
        </w:rPr>
        <w:t> </w:t>
      </w:r>
      <w:r>
        <w:rPr>
          <w:color w:val="231F20"/>
        </w:rPr>
        <w:t>um</w:t>
      </w:r>
      <w:r>
        <w:rPr>
          <w:color w:val="231F20"/>
          <w:spacing w:val="-17"/>
        </w:rPr>
        <w:t> </w:t>
      </w:r>
      <w:r>
        <w:rPr>
          <w:color w:val="231F20"/>
        </w:rPr>
        <w:t>die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Wärmeverluste</w:t>
      </w:r>
      <w:r>
        <w:rPr>
          <w:color w:val="231F20"/>
          <w:spacing w:val="-17"/>
        </w:rPr>
        <w:t> </w:t>
      </w:r>
      <w:r>
        <w:rPr>
          <w:color w:val="231F20"/>
        </w:rPr>
        <w:t>zu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reduzieren.</w:t>
      </w:r>
      <w:r>
        <w:rPr>
          <w:color w:val="231F20"/>
          <w:spacing w:val="-27"/>
        </w:rPr>
        <w:t> </w:t>
      </w:r>
      <w:r>
        <w:rPr>
          <w:color w:val="231F20"/>
        </w:rPr>
        <w:t>Gleich-</w:t>
      </w:r>
      <w:r>
        <w:rPr>
          <w:color w:val="231F20"/>
          <w:spacing w:val="25"/>
        </w:rPr>
        <w:t> </w:t>
      </w:r>
      <w:r>
        <w:rPr>
          <w:color w:val="231F20"/>
        </w:rPr>
        <w:t>zeitig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wurden</w:t>
      </w:r>
      <w:r>
        <w:rPr>
          <w:color w:val="231F20"/>
          <w:spacing w:val="25"/>
        </w:rPr>
        <w:t> </w:t>
      </w:r>
      <w:r>
        <w:rPr>
          <w:color w:val="231F20"/>
        </w:rPr>
        <w:t>eine</w:t>
      </w:r>
      <w:r>
        <w:rPr>
          <w:color w:val="231F20"/>
          <w:spacing w:val="25"/>
        </w:rPr>
        <w:t> </w:t>
      </w:r>
      <w:r>
        <w:rPr>
          <w:color w:val="231F20"/>
        </w:rPr>
        <w:t>5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21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grosse</w:t>
      </w:r>
      <w:r>
        <w:rPr>
          <w:color w:val="231F20"/>
          <w:spacing w:val="25"/>
        </w:rPr>
        <w:t> </w:t>
      </w:r>
      <w:r>
        <w:rPr>
          <w:color w:val="231F20"/>
        </w:rPr>
        <w:t>Solarther-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mie-Anlage</w:t>
      </w:r>
      <w:r>
        <w:rPr>
          <w:color w:val="231F20"/>
          <w:spacing w:val="3"/>
        </w:rPr>
        <w:t> </w:t>
      </w:r>
      <w:r>
        <w:rPr>
          <w:color w:val="231F20"/>
        </w:rPr>
        <w:t>installiert,</w:t>
      </w:r>
      <w:r>
        <w:rPr>
          <w:color w:val="231F20"/>
          <w:spacing w:val="-8"/>
        </w:rPr>
        <w:t> </w:t>
      </w:r>
      <w:r>
        <w:rPr>
          <w:color w:val="231F20"/>
        </w:rPr>
        <w:t>welche</w:t>
      </w:r>
      <w:r>
        <w:rPr>
          <w:color w:val="231F20"/>
          <w:spacing w:val="3"/>
        </w:rPr>
        <w:t> </w:t>
      </w:r>
      <w:r>
        <w:rPr>
          <w:color w:val="231F20"/>
        </w:rPr>
        <w:t>2’600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Wärme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produziert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sowie</w:t>
      </w:r>
      <w:r>
        <w:rPr>
          <w:color w:val="231F20"/>
          <w:spacing w:val="-9"/>
        </w:rPr>
        <w:t> </w:t>
      </w:r>
      <w:r>
        <w:rPr>
          <w:color w:val="231F20"/>
        </w:rPr>
        <w:t>ein</w:t>
      </w:r>
      <w:r>
        <w:rPr>
          <w:color w:val="231F20"/>
          <w:spacing w:val="-9"/>
        </w:rPr>
        <w:t> </w:t>
      </w:r>
      <w:r>
        <w:rPr>
          <w:color w:val="231F20"/>
        </w:rPr>
        <w:t>Cheminée,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wel-</w:t>
      </w:r>
      <w:r>
        <w:rPr>
          <w:color w:val="231F20"/>
          <w:spacing w:val="37"/>
        </w:rPr>
        <w:t> </w:t>
      </w:r>
      <w:r>
        <w:rPr>
          <w:color w:val="231F20"/>
        </w:rPr>
        <w:t>ches</w:t>
      </w:r>
      <w:r>
        <w:rPr>
          <w:color w:val="231F20"/>
          <w:spacing w:val="36"/>
        </w:rPr>
        <w:t> </w:t>
      </w:r>
      <w:r>
        <w:rPr>
          <w:color w:val="231F20"/>
        </w:rPr>
        <w:t>zusätzliche</w:t>
      </w:r>
      <w:r>
        <w:rPr>
          <w:color w:val="231F20"/>
          <w:spacing w:val="37"/>
        </w:rPr>
        <w:t> </w:t>
      </w:r>
      <w:r>
        <w:rPr>
          <w:color w:val="231F20"/>
        </w:rPr>
        <w:t>2’000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37"/>
        </w:rPr>
        <w:t> </w:t>
      </w:r>
      <w:r>
        <w:rPr>
          <w:color w:val="231F20"/>
        </w:rPr>
        <w:t>liefert.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8"/>
        </w:rPr>
        <w:t> </w:t>
      </w:r>
      <w:r>
        <w:rPr>
          <w:color w:val="231F20"/>
        </w:rPr>
        <w:t>wenigen</w:t>
      </w:r>
      <w:r>
        <w:rPr>
          <w:color w:val="231F20"/>
          <w:spacing w:val="-13"/>
        </w:rPr>
        <w:t> </w:t>
      </w:r>
      <w:r>
        <w:rPr>
          <w:color w:val="231F20"/>
        </w:rPr>
        <w:t>Südflächen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waren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ursprünglich</w:t>
      </w:r>
      <w:r>
        <w:rPr>
          <w:color w:val="231F20"/>
          <w:spacing w:val="-13"/>
        </w:rPr>
        <w:t> </w:t>
      </w:r>
      <w:r>
        <w:rPr>
          <w:color w:val="231F20"/>
        </w:rPr>
        <w:t>mit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grossen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Fenstern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versehen</w:t>
      </w:r>
      <w:r>
        <w:rPr>
          <w:color w:val="231F20"/>
          <w:spacing w:val="31"/>
        </w:rPr>
        <w:t> </w:t>
      </w:r>
      <w:r>
        <w:rPr>
          <w:color w:val="231F20"/>
        </w:rPr>
        <w:t>und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gewinnen</w:t>
      </w:r>
      <w:r>
        <w:rPr>
          <w:color w:val="231F20"/>
          <w:spacing w:val="33"/>
        </w:rPr>
        <w:t> </w:t>
      </w:r>
      <w:r>
        <w:rPr>
          <w:color w:val="231F20"/>
        </w:rPr>
        <w:t>heute</w:t>
      </w:r>
      <w:r>
        <w:rPr>
          <w:color w:val="231F20"/>
          <w:spacing w:val="9"/>
        </w:rPr>
        <w:t> </w:t>
      </w:r>
      <w:r>
        <w:rPr>
          <w:color w:val="231F20"/>
        </w:rPr>
        <w:t>mit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Solarglas</w:t>
      </w:r>
      <w:r>
        <w:rPr>
          <w:color w:val="231F20"/>
          <w:spacing w:val="9"/>
        </w:rPr>
        <w:t> </w:t>
      </w:r>
      <w:r>
        <w:rPr>
          <w:color w:val="231F20"/>
        </w:rPr>
        <w:t>passive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Wärmeenergie.</w:t>
      </w:r>
      <w:r>
        <w:rPr>
          <w:color w:val="231F20"/>
          <w:spacing w:val="24"/>
        </w:rPr>
        <w:t> </w:t>
      </w:r>
      <w:r>
        <w:rPr>
          <w:color w:val="231F20"/>
        </w:rPr>
        <w:t>Danach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folgte</w:t>
      </w:r>
      <w:r>
        <w:rPr>
          <w:color w:val="231F20"/>
          <w:spacing w:val="11"/>
        </w:rPr>
        <w:t> </w:t>
      </w:r>
      <w:r>
        <w:rPr>
          <w:color w:val="231F20"/>
        </w:rPr>
        <w:t>eine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Beobachtungsphase,</w:t>
      </w:r>
      <w:r>
        <w:rPr>
          <w:color w:val="231F20"/>
        </w:rPr>
        <w:t> in</w:t>
      </w:r>
      <w:r>
        <w:rPr>
          <w:color w:val="231F20"/>
          <w:spacing w:val="37"/>
        </w:rPr>
        <w:t> </w:t>
      </w:r>
      <w:r>
        <w:rPr>
          <w:color w:val="231F20"/>
        </w:rPr>
        <w:t>der</w:t>
      </w:r>
      <w:r>
        <w:rPr>
          <w:color w:val="231F20"/>
          <w:spacing w:val="21"/>
        </w:rPr>
        <w:t> </w:t>
      </w:r>
      <w:r>
        <w:rPr>
          <w:color w:val="231F20"/>
        </w:rPr>
        <w:t>das</w:t>
      </w:r>
      <w:r>
        <w:rPr>
          <w:color w:val="231F20"/>
          <w:spacing w:val="21"/>
        </w:rPr>
        <w:t> </w:t>
      </w:r>
      <w:r>
        <w:rPr>
          <w:color w:val="231F20"/>
        </w:rPr>
        <w:t>Restöl</w:t>
      </w:r>
      <w:r>
        <w:rPr>
          <w:color w:val="231F20"/>
          <w:spacing w:val="21"/>
        </w:rPr>
        <w:t> </w:t>
      </w:r>
      <w:r>
        <w:rPr>
          <w:color w:val="231F20"/>
        </w:rPr>
        <w:t>verheizt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wurde.</w:t>
      </w:r>
      <w:r>
        <w:rPr>
          <w:color w:val="231F20"/>
          <w:spacing w:val="10"/>
        </w:rPr>
        <w:t> </w:t>
      </w:r>
      <w:r>
        <w:rPr>
          <w:color w:val="231F20"/>
        </w:rPr>
        <w:t>Über</w:t>
      </w:r>
      <w:r>
        <w:rPr>
          <w:color w:val="231F20"/>
          <w:spacing w:val="21"/>
        </w:rPr>
        <w:t> </w:t>
      </w:r>
      <w:r>
        <w:rPr>
          <w:color w:val="231F20"/>
        </w:rPr>
        <w:t>einen</w:t>
      </w:r>
      <w:r>
        <w:rPr>
          <w:color w:val="231F20"/>
          <w:spacing w:val="25"/>
        </w:rPr>
        <w:t> </w:t>
      </w:r>
      <w:r>
        <w:rPr>
          <w:color w:val="231F20"/>
        </w:rPr>
        <w:t>Zähler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konnte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27"/>
        </w:rPr>
        <w:t> </w:t>
      </w:r>
      <w:r>
        <w:rPr>
          <w:color w:val="231F20"/>
        </w:rPr>
        <w:t>der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Wärmebedarf</w:t>
      </w:r>
      <w:r>
        <w:rPr>
          <w:color w:val="231F20"/>
          <w:spacing w:val="28"/>
        </w:rPr>
        <w:t> </w:t>
      </w:r>
      <w:r>
        <w:rPr>
          <w:color w:val="231F20"/>
        </w:rPr>
        <w:t>genau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bestimmt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werden,</w:t>
      </w:r>
      <w:r>
        <w:rPr>
          <w:color w:val="231F20"/>
        </w:rPr>
        <w:t> was</w:t>
      </w:r>
      <w:r>
        <w:rPr>
          <w:color w:val="231F20"/>
          <w:spacing w:val="11"/>
        </w:rPr>
        <w:t> </w:t>
      </w:r>
      <w:r>
        <w:rPr>
          <w:color w:val="231F20"/>
        </w:rPr>
        <w:t>zu</w:t>
      </w:r>
      <w:r>
        <w:rPr>
          <w:color w:val="231F20"/>
          <w:spacing w:val="11"/>
        </w:rPr>
        <w:t> </w:t>
      </w:r>
      <w:r>
        <w:rPr>
          <w:color w:val="231F20"/>
        </w:rPr>
        <w:t>einer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kostenopti-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/>
        <w:br w:type="column"/>
      </w:r>
      <w:r>
        <w:rPr>
          <w:color w:val="231F20"/>
        </w:rPr>
        <w:t>mierten</w:t>
      </w:r>
      <w:r>
        <w:rPr>
          <w:color w:val="231F20"/>
          <w:spacing w:val="14"/>
        </w:rPr>
        <w:t> </w:t>
      </w:r>
      <w:r>
        <w:rPr>
          <w:color w:val="231F20"/>
        </w:rPr>
        <w:t>Auslegung</w:t>
      </w:r>
      <w:r>
        <w:rPr>
          <w:color w:val="231F20"/>
          <w:spacing w:val="13"/>
        </w:rPr>
        <w:t> </w:t>
      </w:r>
      <w:r>
        <w:rPr>
          <w:color w:val="231F20"/>
        </w:rPr>
        <w:t>einer</w:t>
      </w:r>
      <w:r>
        <w:rPr>
          <w:color w:val="231F20"/>
          <w:spacing w:val="14"/>
        </w:rPr>
        <w:t> </w:t>
      </w:r>
      <w:r>
        <w:rPr>
          <w:color w:val="231F20"/>
        </w:rPr>
        <w:t>Luftwärmepumpe</w:t>
      </w:r>
      <w:r>
        <w:rPr>
          <w:color w:val="231F20"/>
          <w:spacing w:val="26"/>
        </w:rPr>
        <w:t> </w:t>
      </w:r>
      <w:r>
        <w:rPr>
          <w:color w:val="231F20"/>
        </w:rPr>
        <w:t>führte.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der</w:t>
      </w:r>
      <w:r>
        <w:rPr>
          <w:color w:val="231F20"/>
          <w:spacing w:val="17"/>
        </w:rPr>
        <w:t> </w:t>
      </w:r>
      <w:r>
        <w:rPr>
          <w:color w:val="231F20"/>
        </w:rPr>
        <w:t>zweiten</w:t>
      </w:r>
      <w:r>
        <w:rPr>
          <w:color w:val="231F20"/>
          <w:spacing w:val="17"/>
        </w:rPr>
        <w:t> </w:t>
      </w:r>
      <w:r>
        <w:rPr>
          <w:color w:val="231F20"/>
        </w:rPr>
        <w:t>Sanierungsetappe</w:t>
      </w:r>
      <w:r>
        <w:rPr>
          <w:color w:val="231F20"/>
          <w:spacing w:val="26"/>
        </w:rPr>
        <w:t> </w:t>
      </w:r>
      <w:r>
        <w:rPr>
          <w:color w:val="231F20"/>
        </w:rPr>
        <w:t>2018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wurden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diese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zusammen</w:t>
      </w:r>
      <w:r>
        <w:rPr>
          <w:color w:val="231F20"/>
          <w:spacing w:val="-12"/>
        </w:rPr>
        <w:t> </w:t>
      </w:r>
      <w:r>
        <w:rPr>
          <w:color w:val="231F20"/>
        </w:rPr>
        <w:t>mit</w:t>
      </w:r>
      <w:r>
        <w:rPr>
          <w:color w:val="231F20"/>
          <w:spacing w:val="-12"/>
        </w:rPr>
        <w:t> </w:t>
      </w:r>
      <w:r>
        <w:rPr>
          <w:color w:val="231F20"/>
        </w:rPr>
        <w:t>einer</w:t>
      </w:r>
      <w:r>
        <w:rPr>
          <w:color w:val="231F20"/>
          <w:spacing w:val="-12"/>
        </w:rPr>
        <w:t> </w:t>
      </w:r>
      <w:r>
        <w:rPr>
          <w:color w:val="231F20"/>
        </w:rPr>
        <w:t>gut</w:t>
      </w:r>
      <w:r>
        <w:rPr>
          <w:color w:val="231F20"/>
          <w:spacing w:val="23"/>
        </w:rPr>
        <w:t> </w:t>
      </w:r>
      <w:r>
        <w:rPr>
          <w:color w:val="231F20"/>
        </w:rPr>
        <w:t>integrierten</w:t>
      </w:r>
      <w:r>
        <w:rPr>
          <w:color w:val="231F20"/>
          <w:spacing w:val="8"/>
        </w:rPr>
        <w:t> </w:t>
      </w:r>
      <w:r>
        <w:rPr>
          <w:color w:val="231F20"/>
        </w:rPr>
        <w:t>9</w:t>
      </w:r>
      <w:r>
        <w:rPr>
          <w:color w:val="231F20"/>
          <w:spacing w:val="8"/>
        </w:rPr>
        <w:t> </w:t>
      </w:r>
      <w:r>
        <w:rPr>
          <w:color w:val="231F20"/>
        </w:rPr>
        <w:t>kW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starken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8"/>
        </w:rPr>
        <w:t> </w:t>
      </w:r>
      <w:r>
        <w:rPr>
          <w:color w:val="231F20"/>
        </w:rPr>
        <w:t>instal-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liert.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Diese</w:t>
      </w:r>
      <w:r>
        <w:rPr>
          <w:color w:val="231F20"/>
          <w:spacing w:val="17"/>
        </w:rPr>
        <w:t> </w:t>
      </w:r>
      <w:r>
        <w:rPr>
          <w:color w:val="231F20"/>
        </w:rPr>
        <w:t>liefert</w:t>
      </w:r>
      <w:r>
        <w:rPr>
          <w:color w:val="231F20"/>
          <w:spacing w:val="18"/>
        </w:rPr>
        <w:t> </w:t>
      </w:r>
      <w:r>
        <w:rPr>
          <w:color w:val="231F20"/>
        </w:rPr>
        <w:t>jährlich</w:t>
      </w:r>
      <w:r>
        <w:rPr>
          <w:color w:val="231F20"/>
          <w:spacing w:val="17"/>
        </w:rPr>
        <w:t> </w:t>
      </w:r>
      <w:r>
        <w:rPr>
          <w:color w:val="231F20"/>
        </w:rPr>
        <w:t>9’200</w:t>
      </w:r>
      <w:r>
        <w:rPr>
          <w:color w:val="231F20"/>
          <w:spacing w:val="17"/>
        </w:rPr>
        <w:t> </w:t>
      </w:r>
      <w:r>
        <w:rPr>
          <w:color w:val="231F20"/>
        </w:rPr>
        <w:t>kWh</w:t>
      </w:r>
      <w:r>
        <w:rPr>
          <w:color w:val="231F20"/>
          <w:spacing w:val="18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</w:rPr>
        <w:t>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freien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Solarstrom.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2"/>
        </w:rPr>
        <w:t> </w:t>
      </w:r>
      <w:r>
        <w:rPr>
          <w:rFonts w:ascii="Theinhardt Medium" w:hAnsi="Theinhardt Medium" w:cs="Theinhardt Medium" w:eastAsia="Theinhardt Medium"/>
          <w:color w:val="231F20"/>
        </w:rPr>
        <w:t>«</w:t>
      </w:r>
      <w:r>
        <w:rPr>
          <w:color w:val="231F20"/>
        </w:rPr>
        <w:t>alte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Energieschleu-</w:t>
      </w:r>
      <w:r>
        <w:rPr>
          <w:color w:val="231F20"/>
          <w:spacing w:val="27"/>
        </w:rPr>
        <w:t> </w:t>
      </w:r>
      <w:r>
        <w:rPr>
          <w:color w:val="231F20"/>
        </w:rPr>
        <w:t>der»,</w:t>
      </w:r>
      <w:r>
        <w:rPr>
          <w:color w:val="231F20"/>
          <w:spacing w:val="37"/>
        </w:rPr>
        <w:t> </w:t>
      </w:r>
      <w:r>
        <w:rPr>
          <w:color w:val="231F20"/>
        </w:rPr>
        <w:t>welche 62’200 </w:t>
      </w:r>
      <w:r>
        <w:rPr>
          <w:color w:val="231F20"/>
          <w:spacing w:val="-2"/>
        </w:rPr>
        <w:t>kWh/a</w:t>
      </w:r>
      <w:r>
        <w:rPr>
          <w:color w:val="231F20"/>
        </w:rPr>
        <w:t> </w:t>
      </w:r>
      <w:r>
        <w:rPr>
          <w:color w:val="231F20"/>
          <w:spacing w:val="-1"/>
        </w:rPr>
        <w:t>verbrauchte,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konnte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16"/>
        </w:rPr>
        <w:t> </w:t>
      </w:r>
      <w:r>
        <w:rPr>
          <w:color w:val="231F20"/>
        </w:rPr>
        <w:t>zum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PlusEnergieBau</w:t>
      </w:r>
      <w:r>
        <w:rPr>
          <w:color w:val="231F20"/>
          <w:spacing w:val="16"/>
        </w:rPr>
        <w:t> </w:t>
      </w:r>
      <w:r>
        <w:rPr>
          <w:color w:val="231F20"/>
        </w:rPr>
        <w:t>verwandelt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werden,</w:t>
      </w:r>
      <w:r>
        <w:rPr>
          <w:color w:val="231F20"/>
          <w:spacing w:val="39"/>
        </w:rPr>
        <w:t> </w:t>
      </w:r>
      <w:r>
        <w:rPr>
          <w:color w:val="231F20"/>
        </w:rPr>
        <w:t>welcher</w:t>
      </w:r>
      <w:r>
        <w:rPr>
          <w:color w:val="231F20"/>
          <w:spacing w:val="2"/>
        </w:rPr>
        <w:t> </w:t>
      </w:r>
      <w:r>
        <w:rPr>
          <w:color w:val="231F20"/>
        </w:rPr>
        <w:t>lediglich</w:t>
      </w:r>
      <w:r>
        <w:rPr>
          <w:color w:val="231F20"/>
          <w:spacing w:val="2"/>
        </w:rPr>
        <w:t> </w:t>
      </w:r>
      <w:r>
        <w:rPr>
          <w:color w:val="231F20"/>
        </w:rPr>
        <w:t>10’300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24"/>
        </w:rPr>
        <w:t> </w:t>
      </w:r>
      <w:r>
        <w:rPr>
          <w:color w:val="231F20"/>
        </w:rPr>
        <w:t>benötigt.</w:t>
      </w:r>
      <w:r>
        <w:rPr>
          <w:color w:val="231F20"/>
          <w:spacing w:val="-12"/>
        </w:rPr>
        <w:t> </w:t>
      </w:r>
      <w:r>
        <w:rPr>
          <w:color w:val="231F20"/>
        </w:rPr>
        <w:t>Dank</w:t>
      </w:r>
      <w:r>
        <w:rPr>
          <w:color w:val="231F20"/>
          <w:spacing w:val="-2"/>
        </w:rPr>
        <w:t> </w:t>
      </w:r>
      <w:r>
        <w:rPr>
          <w:color w:val="231F20"/>
        </w:rPr>
        <w:t>der</w:t>
      </w:r>
      <w:r>
        <w:rPr>
          <w:color w:val="231F20"/>
          <w:spacing w:val="-2"/>
        </w:rPr>
        <w:t> solaren </w:t>
      </w:r>
      <w:r>
        <w:rPr>
          <w:color w:val="231F20"/>
          <w:spacing w:val="-1"/>
        </w:rPr>
        <w:t>Strom-</w:t>
      </w:r>
      <w:r>
        <w:rPr>
          <w:color w:val="231F20"/>
          <w:spacing w:val="-2"/>
        </w:rPr>
        <w:t> </w:t>
      </w:r>
      <w:r>
        <w:rPr>
          <w:color w:val="231F20"/>
        </w:rPr>
        <w:t>und</w:t>
      </w:r>
      <w:r>
        <w:rPr>
          <w:color w:val="231F20"/>
          <w:spacing w:val="-2"/>
        </w:rPr>
        <w:t> Wär-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meproduktion</w:t>
      </w:r>
      <w:r>
        <w:rPr>
          <w:color w:val="231F20"/>
          <w:spacing w:val="25"/>
        </w:rPr>
        <w:t> </w:t>
      </w:r>
      <w:r>
        <w:rPr>
          <w:color w:val="231F20"/>
        </w:rPr>
        <w:t>von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insgesamt</w:t>
      </w:r>
      <w:r>
        <w:rPr>
          <w:color w:val="231F20"/>
          <w:spacing w:val="25"/>
        </w:rPr>
        <w:t> </w:t>
      </w:r>
      <w:r>
        <w:rPr>
          <w:color w:val="231F20"/>
        </w:rPr>
        <w:t>11’800</w:t>
      </w:r>
      <w:r>
        <w:rPr>
          <w:color w:val="231F20"/>
          <w:spacing w:val="26"/>
        </w:rPr>
        <w:t> </w:t>
      </w:r>
      <w:r>
        <w:rPr>
          <w:color w:val="231F20"/>
        </w:rPr>
        <w:t>kWh</w:t>
      </w:r>
      <w:r>
        <w:rPr>
          <w:color w:val="231F20"/>
          <w:spacing w:val="27"/>
        </w:rPr>
        <w:t> </w:t>
      </w:r>
      <w:r>
        <w:rPr>
          <w:color w:val="231F20"/>
        </w:rPr>
        <w:t>liegt</w:t>
      </w:r>
      <w:r>
        <w:rPr>
          <w:color w:val="231F20"/>
          <w:spacing w:val="-14"/>
        </w:rPr>
        <w:t> </w:t>
      </w:r>
      <w:r>
        <w:rPr>
          <w:color w:val="231F20"/>
        </w:rPr>
        <w:t>die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Eigenenergieversorgung</w:t>
      </w:r>
      <w:r>
        <w:rPr>
          <w:color w:val="231F20"/>
          <w:spacing w:val="-14"/>
        </w:rPr>
        <w:t> </w:t>
      </w:r>
      <w:r>
        <w:rPr>
          <w:color w:val="231F20"/>
        </w:rPr>
        <w:t>bei</w:t>
      </w:r>
      <w:r>
        <w:rPr>
          <w:color w:val="231F20"/>
          <w:spacing w:val="-14"/>
        </w:rPr>
        <w:t> </w:t>
      </w:r>
      <w:r>
        <w:rPr>
          <w:color w:val="231F20"/>
        </w:rPr>
        <w:t>114%.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PlusEnergie-EFH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Wilen</w:t>
      </w:r>
      <w:r>
        <w:rPr>
          <w:color w:val="231F20"/>
          <w:spacing w:val="4"/>
        </w:rPr>
        <w:t> </w:t>
      </w:r>
      <w:r>
        <w:rPr>
          <w:color w:val="231F20"/>
        </w:rPr>
        <w:t>zeigt</w:t>
      </w:r>
      <w:r>
        <w:rPr>
          <w:color w:val="231F20"/>
          <w:spacing w:val="4"/>
        </w:rPr>
        <w:t> </w:t>
      </w:r>
      <w:r>
        <w:rPr>
          <w:color w:val="231F20"/>
        </w:rPr>
        <w:t>bei-</w:t>
      </w:r>
      <w:r>
        <w:rPr>
          <w:color w:val="231F20"/>
          <w:spacing w:val="25"/>
        </w:rPr>
        <w:t> </w:t>
      </w:r>
      <w:r>
        <w:rPr>
          <w:color w:val="231F20"/>
        </w:rPr>
        <w:t>spielhaft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auf,</w:t>
      </w:r>
      <w:r>
        <w:rPr>
          <w:color w:val="231F20"/>
          <w:spacing w:val="30"/>
        </w:rPr>
        <w:t> </w:t>
      </w:r>
      <w:r>
        <w:rPr>
          <w:color w:val="231F20"/>
        </w:rPr>
        <w:t>wie</w:t>
      </w:r>
      <w:r>
        <w:rPr>
          <w:color w:val="231F20"/>
          <w:spacing w:val="40"/>
        </w:rPr>
        <w:t> </w:t>
      </w:r>
      <w:r>
        <w:rPr>
          <w:color w:val="231F20"/>
        </w:rPr>
        <w:t>auch</w:t>
      </w:r>
      <w:r>
        <w:rPr>
          <w:color w:val="231F20"/>
          <w:spacing w:val="41"/>
        </w:rPr>
        <w:t> </w:t>
      </w:r>
      <w:r>
        <w:rPr>
          <w:color w:val="231F20"/>
        </w:rPr>
        <w:t>mit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bescheidenen</w:t>
      </w:r>
      <w:r>
        <w:rPr>
          <w:color w:val="231F20"/>
          <w:spacing w:val="35"/>
        </w:rPr>
        <w:t> </w:t>
      </w:r>
      <w:r>
        <w:rPr>
          <w:color w:val="231F20"/>
        </w:rPr>
        <w:t>Mitteln</w:t>
      </w:r>
      <w:r>
        <w:rPr>
          <w:color w:val="231F20"/>
          <w:spacing w:val="-14"/>
        </w:rPr>
        <w:t> </w:t>
      </w:r>
      <w:r>
        <w:rPr>
          <w:color w:val="231F20"/>
        </w:rPr>
        <w:t>ein</w:t>
      </w:r>
      <w:r>
        <w:rPr>
          <w:color w:val="231F20"/>
          <w:spacing w:val="-14"/>
        </w:rPr>
        <w:t> </w:t>
      </w:r>
      <w:r>
        <w:rPr>
          <w:rFonts w:ascii="Theinhardt Medium" w:hAnsi="Theinhardt Medium" w:cs="Theinhardt Medium" w:eastAsia="Theinhardt Medium"/>
          <w:color w:val="231F20"/>
          <w:spacing w:val="-1"/>
        </w:rPr>
        <w:t>«</w:t>
      </w:r>
      <w:r>
        <w:rPr>
          <w:color w:val="231F20"/>
          <w:spacing w:val="-1"/>
        </w:rPr>
        <w:t>Energiefresser»</w:t>
      </w:r>
      <w:r>
        <w:rPr>
          <w:color w:val="231F20"/>
          <w:spacing w:val="-14"/>
        </w:rPr>
        <w:t> </w:t>
      </w:r>
      <w:r>
        <w:rPr>
          <w:color w:val="231F20"/>
        </w:rPr>
        <w:t>saniert</w:t>
      </w:r>
      <w:r>
        <w:rPr>
          <w:color w:val="231F20"/>
          <w:spacing w:val="-14"/>
        </w:rPr>
        <w:t> </w:t>
      </w:r>
      <w:r>
        <w:rPr>
          <w:color w:val="231F20"/>
        </w:rPr>
        <w:t>und</w:t>
      </w:r>
      <w:r>
        <w:rPr>
          <w:color w:val="231F20"/>
          <w:spacing w:val="-14"/>
        </w:rPr>
        <w:t> </w:t>
      </w:r>
      <w:r>
        <w:rPr>
          <w:color w:val="231F20"/>
        </w:rPr>
        <w:t>zum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-freien</w:t>
      </w:r>
      <w:r>
        <w:rPr>
          <w:color w:val="231F20"/>
        </w:rPr>
        <w:t> </w:t>
      </w:r>
      <w:r>
        <w:rPr>
          <w:color w:val="231F20"/>
          <w:spacing w:val="-2"/>
        </w:rPr>
        <w:t>PEB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umgewandelt</w:t>
      </w:r>
      <w:r>
        <w:rPr>
          <w:color w:val="231F20"/>
        </w:rPr>
        <w:t> </w:t>
      </w:r>
      <w:r>
        <w:rPr>
          <w:color w:val="231F20"/>
          <w:spacing w:val="-1"/>
        </w:rPr>
        <w:t>werden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kann,</w:t>
      </w:r>
      <w:r>
        <w:rPr>
          <w:color w:val="231F20"/>
          <w:spacing w:val="27"/>
        </w:rPr>
        <w:t> </w:t>
      </w:r>
      <w:r>
        <w:rPr>
          <w:color w:val="231F20"/>
        </w:rPr>
        <w:t>der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sogar</w:t>
      </w:r>
      <w:r>
        <w:rPr>
          <w:color w:val="231F20"/>
          <w:spacing w:val="-11"/>
        </w:rPr>
        <w:t> </w:t>
      </w:r>
      <w:r>
        <w:rPr>
          <w:color w:val="231F20"/>
        </w:rPr>
        <w:t>die</w:t>
      </w:r>
      <w:r>
        <w:rPr>
          <w:color w:val="231F20"/>
          <w:spacing w:val="-11"/>
        </w:rPr>
        <w:t> </w:t>
      </w:r>
      <w:r>
        <w:rPr>
          <w:color w:val="231F20"/>
        </w:rPr>
        <w:t>Ziele</w:t>
      </w:r>
      <w:r>
        <w:rPr>
          <w:color w:val="231F20"/>
          <w:spacing w:val="-11"/>
        </w:rPr>
        <w:t> </w:t>
      </w:r>
      <w:r>
        <w:rPr>
          <w:color w:val="231F2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Pariser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Klimaabkom-</w:t>
      </w:r>
      <w:r>
        <w:rPr>
          <w:color w:val="231F20"/>
          <w:spacing w:val="29"/>
        </w:rPr>
        <w:t> </w:t>
      </w:r>
      <w:r>
        <w:rPr>
          <w:color w:val="231F20"/>
        </w:rPr>
        <w:t>mens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erreicht.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PEB-Sanierung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verdient</w:t>
      </w:r>
      <w:r>
        <w:rPr>
          <w:color w:val="231F20"/>
          <w:spacing w:val="23"/>
        </w:rPr>
        <w:t> </w:t>
      </w:r>
      <w:r>
        <w:rPr>
          <w:color w:val="231F20"/>
        </w:rPr>
        <w:t>daher das </w:t>
      </w:r>
      <w:r>
        <w:rPr>
          <w:color w:val="231F20"/>
          <w:spacing w:val="-1"/>
        </w:rPr>
        <w:t>PlusEnergieBau-Diplom</w:t>
      </w:r>
      <w:r>
        <w:rPr>
          <w:color w:val="231F20"/>
        </w:rPr>
        <w:t> 2019.</w:t>
      </w:r>
      <w:r>
        <w:rPr/>
      </w:r>
    </w:p>
    <w:p>
      <w:pPr>
        <w:spacing w:before="73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945" w:val="left" w:leader="none"/>
          <w:tab w:pos="1572" w:val="left" w:leader="none"/>
          <w:tab w:pos="2476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</w:r>
      <w:r>
        <w:rPr>
          <w:rFonts w:ascii="Theinhardt Regular"/>
          <w:spacing w:val="-1"/>
          <w:sz w:val="14"/>
        </w:rPr>
        <w:t>25</w:t>
      </w:r>
      <w:r>
        <w:rPr>
          <w:rFonts w:ascii="Theinhardt Regular"/>
          <w:sz w:val="14"/>
        </w:rPr>
        <w:t> cm</w:t>
        <w:tab/>
        <w:t>U-Wert:</w:t>
        <w:tab/>
      </w:r>
      <w:r>
        <w:rPr>
          <w:rFonts w:ascii="Theinhardt Regular"/>
          <w:spacing w:val="-3"/>
          <w:sz w:val="14"/>
        </w:rPr>
        <w:t>0.14</w:t>
      </w:r>
      <w:r>
        <w:rPr>
          <w:rFonts w:ascii="Theinhardt Regular"/>
          <w:spacing w:val="-11"/>
          <w:sz w:val="14"/>
        </w:rPr>
        <w:t> </w:t>
      </w:r>
      <w:r>
        <w:rPr>
          <w:rFonts w:ascii="Theinhardt Regular"/>
          <w:sz w:val="14"/>
        </w:rPr>
        <w:t>W/m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945" w:val="left" w:leader="none"/>
          <w:tab w:pos="1572" w:val="left" w:leader="none"/>
          <w:tab w:pos="2474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Dach:</w:t>
        <w:tab/>
      </w:r>
      <w:r>
        <w:rPr>
          <w:rFonts w:ascii="Theinhardt Regular"/>
          <w:spacing w:val="-1"/>
          <w:sz w:val="14"/>
        </w:rPr>
        <w:t>25</w:t>
      </w:r>
      <w:r>
        <w:rPr>
          <w:rFonts w:ascii="Theinhardt Regular"/>
          <w:sz w:val="14"/>
        </w:rPr>
        <w:t> cm</w:t>
        <w:tab/>
        <w:t>U-Wert:</w:t>
        <w:tab/>
      </w:r>
      <w:r>
        <w:rPr>
          <w:rFonts w:ascii="Theinhardt Regular"/>
          <w:spacing w:val="-6"/>
          <w:sz w:val="14"/>
        </w:rPr>
        <w:t>0.17</w:t>
      </w:r>
      <w:r>
        <w:rPr>
          <w:rFonts w:ascii="Theinhardt Regular"/>
          <w:sz w:val="14"/>
        </w:rPr>
        <w:t> W/m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K</w:t>
      </w:r>
    </w:p>
    <w:p>
      <w:pPr>
        <w:tabs>
          <w:tab w:pos="842" w:val="left" w:leader="none"/>
          <w:tab w:pos="1572" w:val="left" w:leader="none"/>
          <w:tab w:pos="2452" w:val="left" w:leader="none"/>
        </w:tabs>
        <w:spacing w:line="207" w:lineRule="auto" w:before="5"/>
        <w:ind w:left="110" w:right="34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Boden:</w:t>
        <w:tab/>
      </w:r>
      <w:r>
        <w:rPr>
          <w:rFonts w:ascii="Theinhardt Regular"/>
          <w:spacing w:val="-4"/>
          <w:sz w:val="14"/>
        </w:rPr>
        <w:t>14</w:t>
      </w:r>
      <w:r>
        <w:rPr>
          <w:rFonts w:ascii="Theinhardt Regular"/>
          <w:sz w:val="14"/>
        </w:rPr>
        <w:t> </w:t>
      </w:r>
      <w:r>
        <w:rPr>
          <w:rFonts w:ascii="Theinhardt Regular"/>
          <w:w w:val="95"/>
          <w:sz w:val="14"/>
        </w:rPr>
        <w:t>cm</w:t>
        <w:tab/>
      </w:r>
      <w:r>
        <w:rPr>
          <w:rFonts w:ascii="Theinhardt Regular"/>
          <w:sz w:val="14"/>
        </w:rPr>
        <w:t>U-Wert:</w:t>
        <w:tab/>
        <w:t>0.20 </w:t>
      </w:r>
      <w:r>
        <w:rPr>
          <w:rFonts w:ascii="Theinhardt Regular"/>
          <w:spacing w:val="-1"/>
          <w:sz w:val="14"/>
        </w:rPr>
        <w:t>W/m</w:t>
      </w:r>
      <w:r>
        <w:rPr>
          <w:rFonts w:ascii="Theinhardt Regular"/>
          <w:spacing w:val="-1"/>
          <w:position w:val="5"/>
          <w:sz w:val="8"/>
        </w:rPr>
        <w:t>2</w:t>
      </w:r>
      <w:r>
        <w:rPr>
          <w:rFonts w:ascii="Theinhardt Regular"/>
          <w:spacing w:val="-1"/>
          <w:sz w:val="14"/>
        </w:rPr>
        <w:t>K</w:t>
      </w:r>
      <w:r>
        <w:rPr>
          <w:rFonts w:ascii="Theinhardt Regular"/>
          <w:spacing w:val="25"/>
          <w:sz w:val="14"/>
        </w:rPr>
        <w:t> </w:t>
      </w:r>
      <w:r>
        <w:rPr>
          <w:rFonts w:ascii="Theinhardt Regular"/>
          <w:sz w:val="14"/>
        </w:rPr>
        <w:t>Fenster:</w:t>
        <w:tab/>
        <w:t>dreifach</w:t>
        <w:tab/>
        <w:t>U-Wert:</w:t>
        <w:tab/>
      </w:r>
      <w:r>
        <w:rPr>
          <w:rFonts w:ascii="Theinhardt Regular"/>
          <w:spacing w:val="-1"/>
          <w:sz w:val="14"/>
        </w:rPr>
        <w:t>1.00</w:t>
      </w:r>
      <w:r>
        <w:rPr>
          <w:rFonts w:ascii="Theinhardt Regular"/>
          <w:sz w:val="14"/>
        </w:rPr>
        <w:t> W/m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K</w:t>
      </w:r>
    </w:p>
    <w:p>
      <w:pPr>
        <w:tabs>
          <w:tab w:pos="1471" w:val="left" w:leader="none"/>
          <w:tab w:pos="1743" w:val="left" w:leader="none"/>
          <w:tab w:pos="2372" w:val="left" w:leader="none"/>
          <w:tab w:pos="2402" w:val="left" w:leader="none"/>
          <w:tab w:pos="2772" w:val="left" w:leader="none"/>
          <w:tab w:pos="2813" w:val="left" w:leader="none"/>
        </w:tabs>
        <w:spacing w:line="160" w:lineRule="exact" w:before="46"/>
        <w:ind w:left="110" w:right="34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Energiebedarf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vor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Sanierung [100% | 603%]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EBF: 289 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a</w:t>
        <w:tab/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  <w:tab/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Warmwasser:</w:t>
        <w:tab/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35.3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17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10’215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665" w:val="left" w:leader="none"/>
          <w:tab w:pos="2373" w:val="left" w:leader="none"/>
          <w:tab w:pos="2757" w:val="left" w:leader="none"/>
        </w:tabs>
        <w:spacing w:line="165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Heizung: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160.0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74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46’244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43" w:val="left" w:leader="none"/>
          <w:tab w:pos="2447" w:val="left" w:leader="none"/>
          <w:tab w:pos="2851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20.0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9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5’774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658" w:val="left" w:leader="none"/>
          <w:tab w:pos="2282" w:val="left" w:leader="none"/>
          <w:tab w:pos="2744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215.3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62’233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nach der Sanierung </w:t>
      </w:r>
      <w:r>
        <w:rPr>
          <w:rFonts w:ascii="Theinhardt Bold"/>
          <w:b/>
          <w:color w:val="231F20"/>
          <w:spacing w:val="-1"/>
          <w:sz w:val="14"/>
        </w:rPr>
        <w:t>[17%|100%]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756"/>
        <w:gridCol w:w="485"/>
        <w:gridCol w:w="625"/>
      </w:tblGrid>
      <w:tr>
        <w:trPr>
          <w:trHeight w:val="128" w:hRule="exact"/>
        </w:trPr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z w:val="14"/>
              </w:rPr>
              <w:t>EBF: 289 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7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24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7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Solare</w:t>
            </w:r>
            <w:r>
              <w:rPr>
                <w:rFonts w:ascii="Theinhardt Regular" w:hAnsi="Theinhardt Regular"/>
                <w:color w:val="231F20"/>
                <w:sz w:val="14"/>
              </w:rPr>
              <w:t> </w:t>
            </w: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Wärme: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2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8.8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2’550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Holz: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2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6.9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1"/>
                <w:sz w:val="14"/>
                <w:szCs w:val="14"/>
              </w:rPr>
              <w:t>2’000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4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20.0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56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3"/>
                <w:sz w:val="14"/>
                <w:szCs w:val="14"/>
              </w:rPr>
              <w:t>5’774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344" w:hRule="exact"/>
        </w:trPr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48" w:lineRule="exact" w:before="32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4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35.7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2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10’324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tabs>
          <w:tab w:pos="927" w:val="left" w:leader="none"/>
          <w:tab w:pos="1676" w:val="left" w:leader="none"/>
          <w:tab w:pos="2365" w:val="left" w:leader="none"/>
          <w:tab w:pos="2402" w:val="left" w:leader="none"/>
          <w:tab w:pos="2813" w:val="left" w:leader="none"/>
        </w:tabs>
        <w:spacing w:line="160" w:lineRule="exact" w:before="20"/>
        <w:ind w:left="110" w:right="34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6.934998pt;margin-top:21.362551pt;width:160.550pt;height:48.4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79"/>
                    <w:gridCol w:w="611"/>
                    <w:gridCol w:w="619"/>
                  </w:tblGrid>
                  <w:tr>
                    <w:trPr>
                      <w:trHeight w:val="274" w:hRule="exact"/>
                    </w:trPr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88" w:val="left" w:leader="none"/>
                            <w:tab w:pos="1974" w:val="right" w:leader="none"/>
                          </w:tabs>
                          <w:spacing w:line="77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PV:</w:t>
                          <w:tab/>
                          <w:t>49  </w:t>
                        </w:r>
                        <w:r>
                          <w:rPr>
                            <w:rFonts w:ascii="Theinhardt Regular"/>
                            <w:color w:val="231F20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3"/>
                            <w:sz w:val="14"/>
                          </w:rPr>
                          <w:t>8.7</w:t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187.8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Eigenenergieversorgung: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77" w:lineRule="exact"/>
                          <w:ind w:left="32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89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61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-5"/>
                            <w:sz w:val="14"/>
                          </w:rPr>
                          <w:t>114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77" w:lineRule="exact"/>
                          <w:ind w:left="18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"/>
                            <w:sz w:val="14"/>
                            <w:szCs w:val="14"/>
                          </w:rPr>
                          <w:t>9’200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1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-2"/>
                            <w:sz w:val="14"/>
                            <w:szCs w:val="14"/>
                          </w:rPr>
                          <w:t>11’750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7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Energiebilanz 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(Endenergie)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Eigenenergieversorgung: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7"/>
                          <w:ind w:left="251" w:right="0"/>
                          <w:jc w:val="center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145" w:right="0"/>
                          <w:jc w:val="center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-5"/>
                            <w:sz w:val="14"/>
                          </w:rPr>
                          <w:t>114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7"/>
                          <w:ind w:left="16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11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-2"/>
                            <w:sz w:val="14"/>
                            <w:szCs w:val="14"/>
                          </w:rPr>
                          <w:t>11’750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Gesamtenergiebedarf: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4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2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2"/>
                            <w:sz w:val="14"/>
                            <w:szCs w:val="14"/>
                          </w:rPr>
                          <w:t>10’324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4"/>
                          </w:rPr>
                          <w:t>Solarstromüberschuss:</w:t>
                        </w:r>
                        <w:r>
                          <w:rPr>
                            <w:rFonts w:ascii="Theinhardt Regular" w:hAns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33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-3"/>
                            <w:sz w:val="14"/>
                          </w:rPr>
                          <w:t>14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99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-2"/>
                            <w:sz w:val="14"/>
                            <w:szCs w:val="14"/>
                          </w:rPr>
                          <w:t>1’426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Eigen-EV:  </w:t>
      </w:r>
      <w:r>
        <w:rPr>
          <w:rFonts w:ascii="Theinhardt Regular" w:hAnsi="Theinhardt Regular" w:cs="Theinhardt Regular" w:eastAsia="Theinhardt Regular"/>
          <w:color w:val="231F20"/>
          <w:spacing w:val="3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1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a</w:t>
        <w:tab/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SK: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 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2.8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510.0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25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2’550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after="0" w:line="16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67" w:space="105"/>
            <w:col w:w="3467" w:space="105"/>
            <w:col w:w="3566"/>
          </w:cols>
        </w:sectPr>
      </w:pP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line="160" w:lineRule="exact" w:before="0"/>
        <w:ind w:left="7253" w:right="71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 style="position:absolute;margin-left:42.52pt;margin-top:5.180012pt;width:345.827pt;height:226.772pt;mso-position-horizontal-relative:page;mso-position-vertical-relative:paragraph;z-index:1216" type="#_x0000_t75" stroked="false">
            <v:imagedata r:id="rId6" o:title=""/>
          </v:shape>
        </w:pict>
      </w: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EW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Höfen</w:t>
      </w:r>
      <w:r>
        <w:rPr>
          <w:rFonts w:ascii="Theinhardt Bold" w:hAnsi="Theinhardt Bold"/>
          <w:b/>
          <w:color w:val="231F20"/>
          <w:sz w:val="14"/>
        </w:rPr>
        <w:t> AG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4"/>
          <w:sz w:val="14"/>
        </w:rPr>
        <w:t>03.07.19</w:t>
      </w:r>
      <w:r>
        <w:rPr>
          <w:rFonts w:ascii="Theinhardt Regular" w:hAnsi="Theinhardt Regular"/>
          <w:color w:val="231F20"/>
          <w:spacing w:val="2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Fabian</w:t>
      </w:r>
      <w:r>
        <w:rPr>
          <w:rFonts w:ascii="Theinhardt Regular" w:hAnsi="Theinhardt Regular"/>
          <w:color w:val="231F20"/>
          <w:sz w:val="14"/>
        </w:rPr>
        <w:t> Zahner</w:t>
      </w:r>
      <w:hyperlink r:id="rId7">
        <w:r>
          <w:rPr>
            <w:rFonts w:ascii="Theinhardt Regular" w:hAnsi="Theinhardt Regular"/>
            <w:color w:val="231F20"/>
            <w:sz w:val="14"/>
          </w:rPr>
          <w:t>, </w:t>
        </w:r>
        <w:r>
          <w:rPr>
            <w:rFonts w:ascii="Theinhardt Regular" w:hAnsi="Theinhardt Regular"/>
            <w:color w:val="231F20"/>
            <w:spacing w:val="1"/>
            <w:sz w:val="14"/>
          </w:rPr>
          <w:t>fabianzahner@ewh.ch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before="49"/>
        <w:ind w:left="0" w:right="2153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Beteiligte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Personen</w:t>
      </w:r>
      <w:r>
        <w:rPr>
          <w:rFonts w:ascii="Theinhardt Bold"/>
          <w:sz w:val="14"/>
        </w:rPr>
      </w: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Bold" w:hAnsi="Theinhardt Bold" w:cs="Theinhardt Bold" w:eastAsia="Theinhardt Bold"/>
          <w:sz w:val="2"/>
          <w:szCs w:val="2"/>
        </w:rPr>
      </w:pPr>
      <w:r>
        <w:rPr>
          <w:rFonts w:ascii="Theinhardt Bold" w:hAnsi="Theinhardt Bold" w:cs="Theinhardt Bold" w:eastAsia="Theinhardt Bold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old" w:hAnsi="Theinhardt Bold" w:cs="Theinhardt Bold" w:eastAsia="Theinhardt Bold"/>
          <w:sz w:val="2"/>
          <w:szCs w:val="2"/>
        </w:rPr>
      </w:r>
    </w:p>
    <w:p>
      <w:pPr>
        <w:spacing w:line="172" w:lineRule="exact" w:before="20"/>
        <w:ind w:left="0" w:right="1337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Bauherr,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7253" w:right="71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Familie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Lamoth</w:t>
      </w:r>
      <w:hyperlink r:id="rId8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info@lamoth.ch</w:t>
        </w:r>
      </w:hyperlink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Speerstrasse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14,</w:t>
      </w:r>
      <w:r>
        <w:rPr>
          <w:rFonts w:ascii="Theinhardt Regular"/>
          <w:color w:val="231F20"/>
          <w:sz w:val="14"/>
        </w:rPr>
        <w:t> 8832 </w:t>
      </w:r>
      <w:r>
        <w:rPr>
          <w:rFonts w:ascii="Theinhardt Regular"/>
          <w:color w:val="231F20"/>
          <w:spacing w:val="1"/>
          <w:sz w:val="14"/>
        </w:rPr>
        <w:t>Wilen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bei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Wollerau</w:t>
      </w:r>
      <w:r>
        <w:rPr>
          <w:rFonts w:ascii="Theinhardt Regular"/>
          <w:sz w:val="14"/>
        </w:rPr>
      </w:r>
    </w:p>
    <w:p>
      <w:pPr>
        <w:spacing w:line="172" w:lineRule="exact" w:before="38"/>
        <w:ind w:left="0" w:right="2396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Architekturbüro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0" w:right="1266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Lamoth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Architekten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ETH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SIA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725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8832 </w:t>
      </w:r>
      <w:r>
        <w:rPr>
          <w:rFonts w:ascii="Theinhardt Regular"/>
          <w:color w:val="231F20"/>
          <w:spacing w:val="1"/>
          <w:sz w:val="14"/>
        </w:rPr>
        <w:t>Wilen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bei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Wollerau</w:t>
      </w:r>
      <w:hyperlink r:id="rId9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www.Lamoth.ch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0" w:right="2762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PV-Anlage</w:t>
      </w:r>
      <w:r>
        <w:rPr>
          <w:rFonts w:ascii="Theinhardt Bold"/>
          <w:sz w:val="14"/>
        </w:rPr>
      </w:r>
    </w:p>
    <w:p>
      <w:pPr>
        <w:spacing w:line="207" w:lineRule="auto" w:before="5"/>
        <w:ind w:left="7253" w:right="94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Elektro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Kleb</w:t>
      </w:r>
      <w:r>
        <w:rPr>
          <w:rFonts w:ascii="Theinhardt Regular" w:hAnsi="Theinhardt Regular"/>
          <w:color w:val="231F20"/>
          <w:sz w:val="14"/>
        </w:rPr>
        <w:t> AG, </w:t>
      </w:r>
      <w:r>
        <w:rPr>
          <w:rFonts w:ascii="Theinhardt Regular" w:hAnsi="Theinhardt Regular"/>
          <w:color w:val="231F20"/>
          <w:spacing w:val="1"/>
          <w:sz w:val="14"/>
        </w:rPr>
        <w:t>Ferdinand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Kälin</w:t>
      </w:r>
      <w:r>
        <w:rPr>
          <w:rFonts w:ascii="Theinhardt Regular" w:hAnsi="Theinhardt Regular"/>
          <w:color w:val="231F20"/>
          <w:spacing w:val="29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Breitenstrasse</w:t>
      </w:r>
      <w:r>
        <w:rPr>
          <w:rFonts w:ascii="Theinhardt Regular" w:hAnsi="Theinhardt Regular"/>
          <w:color w:val="231F20"/>
          <w:sz w:val="14"/>
        </w:rPr>
        <w:t> 108c, </w:t>
      </w:r>
      <w:r>
        <w:rPr>
          <w:rFonts w:ascii="Theinhardt Regular" w:hAnsi="Theinhardt Regular"/>
          <w:color w:val="231F20"/>
          <w:spacing w:val="1"/>
          <w:sz w:val="14"/>
        </w:rPr>
        <w:t>8808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Bäch</w:t>
      </w:r>
      <w:hyperlink r:id="rId10">
        <w:r>
          <w:rPr>
            <w:rFonts w:ascii="Theinhardt Regular" w:hAnsi="Theinhardt Regular"/>
            <w:color w:val="231F20"/>
            <w:spacing w:val="26"/>
            <w:sz w:val="14"/>
          </w:rPr>
          <w:t> </w:t>
        </w:r>
        <w:r>
          <w:rPr>
            <w:rFonts w:ascii="Theinhardt Regular" w:hAnsi="Theinhardt Regular"/>
            <w:color w:val="231F20"/>
            <w:spacing w:val="2"/>
            <w:sz w:val="14"/>
          </w:rPr>
          <w:t>www.kleb-ag.ch,</w:t>
        </w:r>
      </w:hyperlink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43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888</w:t>
      </w:r>
      <w:r>
        <w:rPr>
          <w:rFonts w:ascii="Theinhardt Regular" w:hAnsi="Theinhardt Regular"/>
          <w:color w:val="231F20"/>
          <w:sz w:val="14"/>
        </w:rPr>
        <w:t> 98 </w:t>
      </w:r>
      <w:r>
        <w:rPr>
          <w:rFonts w:ascii="Theinhardt Regular" w:hAnsi="Theinhardt Regular"/>
          <w:color w:val="231F20"/>
          <w:spacing w:val="1"/>
          <w:sz w:val="14"/>
        </w:rPr>
        <w:t>88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0" w:lineRule="atLeast"/>
        <w:ind w:left="725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31306" cy="1359408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306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2" w:val="left" w:leader="none"/>
        </w:tabs>
        <w:spacing w:before="1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9"/>
          <w:szCs w:val="19"/>
        </w:rPr>
        <w:sectPr>
          <w:type w:val="continuous"/>
          <w:pgSz w:w="11910" w:h="16840"/>
          <w:pgMar w:top="84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PV-</w:t>
      </w:r>
      <w:r>
        <w:rPr>
          <w:rFonts w:ascii="Theinhardt Bold"/>
          <w:b/>
          <w:color w:val="231F20"/>
          <w:sz w:val="14"/>
        </w:rPr>
        <w:t> und Solarthermie-Anlage </w:t>
      </w:r>
      <w:r>
        <w:rPr>
          <w:rFonts w:ascii="Theinhardt Bold"/>
          <w:b/>
          <w:color w:val="231F20"/>
          <w:spacing w:val="-1"/>
          <w:sz w:val="14"/>
        </w:rPr>
        <w:t>produzieren</w:t>
      </w:r>
      <w:r>
        <w:rPr>
          <w:rFonts w:ascii="Theinhardt Bold"/>
          <w:b/>
          <w:color w:val="231F20"/>
          <w:spacing w:val="34"/>
          <w:sz w:val="14"/>
        </w:rPr>
        <w:t> </w:t>
      </w:r>
      <w:r>
        <w:rPr>
          <w:rFonts w:ascii="Theinhardt Bold"/>
          <w:b/>
          <w:color w:val="231F20"/>
          <w:sz w:val="14"/>
        </w:rPr>
        <w:t>11'750 </w:t>
      </w:r>
      <w:r>
        <w:rPr>
          <w:rFonts w:ascii="Theinhardt Bold"/>
          <w:b/>
          <w:color w:val="231F20"/>
          <w:spacing w:val="-2"/>
          <w:sz w:val="14"/>
        </w:rPr>
        <w:t>kWh/a</w:t>
      </w:r>
      <w:r>
        <w:rPr>
          <w:rFonts w:ascii="Theinhardt Bold"/>
          <w:b/>
          <w:color w:val="231F20"/>
          <w:sz w:val="14"/>
        </w:rPr>
        <w:t> und </w:t>
      </w:r>
      <w:r>
        <w:rPr>
          <w:rFonts w:ascii="Theinhardt Bold"/>
          <w:b/>
          <w:color w:val="231F20"/>
          <w:spacing w:val="-1"/>
          <w:sz w:val="14"/>
        </w:rPr>
        <w:t>decken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den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Eigenenergiebe-</w:t>
      </w:r>
      <w:r>
        <w:rPr>
          <w:rFonts w:ascii="Theinhardt Bold"/>
          <w:b/>
          <w:color w:val="231F20"/>
          <w:spacing w:val="47"/>
          <w:sz w:val="14"/>
        </w:rPr>
        <w:t> </w:t>
      </w:r>
      <w:r>
        <w:rPr>
          <w:rFonts w:ascii="Theinhardt Bold"/>
          <w:b/>
          <w:color w:val="231F20"/>
          <w:sz w:val="14"/>
        </w:rPr>
        <w:t>darf zu 114 %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before="68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Büro und </w:t>
      </w:r>
      <w:r>
        <w:rPr>
          <w:rFonts w:ascii="Theinhardt Bold" w:hAnsi="Theinhardt Bold"/>
          <w:b/>
          <w:color w:val="231F20"/>
          <w:spacing w:val="-1"/>
          <w:sz w:val="14"/>
        </w:rPr>
        <w:t>Einfamilienhaus</w:t>
      </w:r>
      <w:r>
        <w:rPr>
          <w:rFonts w:ascii="Theinhardt Bold" w:hAnsi="Theinhardt Bold"/>
          <w:b/>
          <w:color w:val="231F20"/>
          <w:sz w:val="14"/>
        </w:rPr>
        <w:t> vor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Sanierung</w:t>
      </w:r>
      <w:r>
        <w:rPr>
          <w:rFonts w:ascii="Theinhardt Bold" w:hAns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402" w:space="170"/>
            <w:col w:w="713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63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Medium">
    <w:altName w:val="Theinhardt Medium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7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8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8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2"/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fabianzahner@ewh.ch" TargetMode="External"/><Relationship Id="rId8" Type="http://schemas.openxmlformats.org/officeDocument/2006/relationships/hyperlink" Target="mailto:info@lamoth.ch" TargetMode="External"/><Relationship Id="rId9" Type="http://schemas.openxmlformats.org/officeDocument/2006/relationships/hyperlink" Target="http://www.Lamoth.ch/" TargetMode="External"/><Relationship Id="rId10" Type="http://schemas.openxmlformats.org/officeDocument/2006/relationships/hyperlink" Target="http://www.kleb-ag.ch/" TargetMode="External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2019-10-04T09:59:36Z</dcterms:created>
  <dcterms:modified xsi:type="dcterms:W3CDTF">2019-10-04T09:59:36Z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2019-10-04T00:00:00Z</vt:filetime>
  </property>
</Properties>
</file>