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2545" w:val="left" w:leader="none"/>
        </w:tabs>
        <w:spacing w:line="230" w:lineRule="exact" w:before="28"/>
        <w:ind w:left="106" w:right="0" w:firstLine="0"/>
        <w:jc w:val="both"/>
        <w:rPr>
          <w:rFonts w:ascii="Theinhardt Regular" w:hAnsi="Theinhardt Regular" w:cs="Theinhardt Regular" w:eastAsia="Theinhardt Regular"/>
          <w:sz w:val="18"/>
          <w:szCs w:val="18"/>
        </w:rPr>
      </w:pPr>
      <w:r>
        <w:rPr/>
        <w:pict>
          <v:group style="position:absolute;margin-left:42.5271pt;margin-top:13.647326pt;width:.1pt;height:.1pt;mso-position-horizontal-relative:page;mso-position-vertical-relative:paragraph;z-index:-5080" coordorigin="851,273" coordsize="2,2">
            <v:shape style="position:absolute;left:851;top:273;width:2;height:2" coordorigin="851,273" coordsize="0,0" path="m851,273l851,27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64.700104pt;margin-top:13.647326pt;width:.1pt;height:.1pt;mso-position-horizontal-relative:page;mso-position-vertical-relative:paragraph;z-index:1120" coordorigin="3294,273" coordsize="2,2">
            <v:shape style="position:absolute;left:3294;top:273;width:2;height:2" coordorigin="3294,273" coordsize="0,0" path="m3294,273l3294,27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42.5271pt;margin-top:25.147326pt;width:.1pt;height:.1pt;mso-position-horizontal-relative:page;mso-position-vertical-relative:paragraph;z-index:-5032" coordorigin="851,503" coordsize="2,2">
            <v:shape style="position:absolute;left:851;top:503;width:2;height:2" coordorigin="851,503" coordsize="0,0" path="m851,503l851,50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64.700104pt;margin-top:25.147326pt;width:.1pt;height:.1pt;mso-position-horizontal-relative:page;mso-position-vertical-relative:paragraph;z-index:1168" coordorigin="3294,503" coordsize="2,2">
            <v:shape style="position:absolute;left:3294;top:503;width:2;height:2" coordorigin="3294,503" coordsize="0,0" path="m3294,503l3294,50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shape style="position:absolute;margin-left:42.315102pt;margin-top:52.268925pt;width:82.204400pt;height:60.2042pt;mso-position-horizontal-relative:page;mso-position-vertical-relative:paragraph;z-index:1192" type="#_x0000_t75" stroked="false">
            <v:imagedata r:id="rId5" o:title=""/>
          </v:shape>
        </w:pict>
      </w:r>
      <w:r>
        <w:rPr>
          <w:rFonts w:ascii="Theinhardt Black" w:hAnsi="Theinhardt Black"/>
          <w:b/>
          <w:color w:val="231F20"/>
          <w:sz w:val="18"/>
        </w:rPr>
      </w:r>
      <w:r>
        <w:rPr>
          <w:rFonts w:ascii="Theinhardt Black" w:hAnsi="Theinhardt Black"/>
          <w:b/>
          <w:color w:val="231F20"/>
          <w:spacing w:val="1"/>
          <w:sz w:val="18"/>
          <w:u w:val="dotted" w:color="231F20"/>
        </w:rPr>
        <w:t>Kategorie</w:t>
      </w:r>
      <w:r>
        <w:rPr>
          <w:rFonts w:ascii="Theinhardt Black" w:hAnsi="Theinhardt Black"/>
          <w:b/>
          <w:color w:val="231F20"/>
          <w:spacing w:val="-1"/>
          <w:sz w:val="18"/>
          <w:u w:val="dotted" w:color="231F20"/>
        </w:rPr>
        <w:t> </w:t>
      </w:r>
      <w:r>
        <w:rPr>
          <w:rFonts w:ascii="Theinhardt Black" w:hAnsi="Theinhardt Black"/>
          <w:b/>
          <w:color w:val="231F20"/>
          <w:sz w:val="18"/>
          <w:u w:val="dotted" w:color="231F20"/>
        </w:rPr>
        <w:t>B</w:t>
      </w:r>
      <w:r>
        <w:rPr>
          <w:rFonts w:ascii="Theinhardt Black" w:hAnsi="Theinhardt Black"/>
          <w:b/>
          <w:color w:val="231F20"/>
          <w:sz w:val="18"/>
          <w:u w:val="dotted" w:color="231F20"/>
        </w:rPr>
        <w:t> </w:t>
        <w:tab/>
      </w:r>
      <w:r>
        <w:rPr>
          <w:rFonts w:ascii="Theinhardt Black" w:hAnsi="Theinhardt Black"/>
          <w:b/>
          <w:color w:val="231F20"/>
          <w:sz w:val="18"/>
        </w:rPr>
      </w:r>
      <w:r>
        <w:rPr>
          <w:rFonts w:ascii="Theinhardt Black" w:hAnsi="Theinhardt Black"/>
          <w:b/>
          <w:color w:val="231F20"/>
          <w:spacing w:val="25"/>
          <w:sz w:val="18"/>
        </w:rPr>
        <w:t> </w:t>
      </w:r>
      <w:r>
        <w:rPr>
          <w:rFonts w:ascii="Theinhardt Black" w:hAnsi="Theinhardt Black"/>
          <w:b/>
          <w:color w:val="231F20"/>
          <w:spacing w:val="1"/>
          <w:sz w:val="18"/>
          <w:u w:val="dotted" w:color="231F20"/>
        </w:rPr>
        <w:t>PlusEnergieBauten</w:t>
      </w:r>
      <w:r>
        <w:rPr>
          <w:rFonts w:ascii="Theinhardt Black" w:hAnsi="Theinhardt Black"/>
          <w:b/>
          <w:color w:val="231F20"/>
          <w:sz w:val="18"/>
          <w:u w:val="dotted" w:color="231F20"/>
        </w:rPr>
        <w:t> </w:t>
        <w:tab/>
      </w:r>
      <w:r>
        <w:rPr>
          <w:rFonts w:ascii="Theinhardt Black" w:hAnsi="Theinhardt Black"/>
          <w:b/>
          <w:color w:val="231F20"/>
          <w:sz w:val="18"/>
        </w:rPr>
      </w:r>
      <w:r>
        <w:rPr>
          <w:rFonts w:ascii="Theinhardt Black" w:hAnsi="Theinhardt Black"/>
          <w:b/>
          <w:color w:val="231F20"/>
          <w:spacing w:val="22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PlusEnergieBau</w:t>
      </w:r>
      <w:r>
        <w:rPr>
          <w:rFonts w:ascii="Theinhardt Regular" w:hAnsi="Theinhardt Regular"/>
          <w:color w:val="231F20"/>
          <w:spacing w:val="-1"/>
          <w:position w:val="6"/>
          <w:sz w:val="10"/>
        </w:rPr>
        <w:t>®</w:t>
      </w:r>
      <w:r>
        <w:rPr>
          <w:rFonts w:ascii="Theinhardt Regular" w:hAnsi="Theinhardt Regular"/>
          <w:color w:val="231F20"/>
          <w:spacing w:val="-1"/>
          <w:sz w:val="18"/>
        </w:rPr>
        <w:t>-Diplom</w:t>
      </w:r>
      <w:r>
        <w:rPr>
          <w:rFonts w:ascii="Theinhardt Regular" w:hAnsi="Theinhardt Regular"/>
          <w:color w:val="231F20"/>
          <w:spacing w:val="3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2019</w:t>
      </w:r>
      <w:r>
        <w:rPr>
          <w:rFonts w:ascii="Theinhardt Regular" w:hAnsi="Theinhardt Regular"/>
          <w:sz w:val="18"/>
        </w:rPr>
      </w:r>
    </w:p>
    <w:p>
      <w:pPr>
        <w:pStyle w:val="Heading1"/>
        <w:spacing w:line="230" w:lineRule="exact" w:before="28"/>
        <w:ind w:right="122"/>
        <w:jc w:val="both"/>
        <w:rPr>
          <w:b w:val="0"/>
          <w:bCs w:val="0"/>
        </w:rPr>
      </w:pPr>
      <w:r>
        <w:rPr>
          <w:b w:val="0"/>
          <w:bCs w:val="0"/>
        </w:rPr>
        <w:br w:type="column"/>
      </w:r>
      <w:r>
        <w:rPr>
          <w:color w:val="231F20"/>
        </w:rPr>
        <w:t>Das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Minergie-P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Einfamilienhaus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(EFH)</w:t>
      </w:r>
      <w:r>
        <w:rPr>
          <w:color w:val="231F20"/>
          <w:spacing w:val="8"/>
        </w:rPr>
        <w:t> </w:t>
      </w:r>
      <w:r>
        <w:rPr>
          <w:color w:val="231F20"/>
          <w:spacing w:val="1"/>
        </w:rPr>
        <w:t>Oettli</w:t>
      </w:r>
      <w:r>
        <w:rPr>
          <w:color w:val="231F20"/>
          <w:spacing w:val="8"/>
        </w:rPr>
        <w:t> </w:t>
      </w:r>
      <w:r>
        <w:rPr>
          <w:color w:val="231F20"/>
        </w:rPr>
        <w:t>in</w:t>
      </w:r>
      <w:r>
        <w:rPr>
          <w:color w:val="231F20"/>
          <w:spacing w:val="8"/>
        </w:rPr>
        <w:t> </w:t>
      </w:r>
      <w:r>
        <w:rPr>
          <w:color w:val="231F20"/>
        </w:rPr>
        <w:t>Beringen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konsumiert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bloss</w:t>
      </w:r>
      <w:r>
        <w:rPr>
          <w:color w:val="231F20"/>
          <w:spacing w:val="8"/>
        </w:rPr>
        <w:t> </w:t>
      </w:r>
      <w:r>
        <w:rPr>
          <w:color w:val="231F20"/>
        </w:rPr>
        <w:t>4’200</w:t>
      </w:r>
      <w:r>
        <w:rPr>
          <w:color w:val="231F20"/>
          <w:spacing w:val="8"/>
        </w:rPr>
        <w:t> </w:t>
      </w:r>
      <w:r>
        <w:rPr>
          <w:color w:val="231F20"/>
        </w:rPr>
        <w:t>kWh</w:t>
      </w:r>
      <w:r>
        <w:rPr>
          <w:color w:val="231F20"/>
          <w:spacing w:val="8"/>
        </w:rPr>
        <w:t> </w:t>
      </w:r>
      <w:r>
        <w:rPr>
          <w:color w:val="231F20"/>
        </w:rPr>
        <w:t>im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Jahr.</w:t>
      </w:r>
      <w:r>
        <w:rPr>
          <w:color w:val="231F20"/>
          <w:spacing w:val="92"/>
        </w:rPr>
        <w:t> </w:t>
      </w:r>
      <w:r>
        <w:rPr>
          <w:color w:val="231F20"/>
        </w:rPr>
        <w:t>Dank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der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vorbildlichen</w:t>
      </w:r>
      <w:r>
        <w:rPr>
          <w:color w:val="231F20"/>
          <w:spacing w:val="30"/>
        </w:rPr>
        <w:t> </w:t>
      </w:r>
      <w:r>
        <w:rPr>
          <w:color w:val="231F20"/>
        </w:rPr>
        <w:t>Wärmedämmung</w:t>
      </w:r>
      <w:r>
        <w:rPr>
          <w:color w:val="231F20"/>
          <w:spacing w:val="30"/>
        </w:rPr>
        <w:t> </w:t>
      </w:r>
      <w:r>
        <w:rPr>
          <w:color w:val="231F20"/>
        </w:rPr>
        <w:t>mit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rekordverdächtig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tiefen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U-Werten</w:t>
      </w:r>
      <w:r>
        <w:rPr>
          <w:color w:val="231F20"/>
          <w:spacing w:val="30"/>
        </w:rPr>
        <w:t> </w:t>
      </w:r>
      <w:r>
        <w:rPr>
          <w:color w:val="231F20"/>
        </w:rPr>
        <w:t>von</w:t>
      </w:r>
      <w:r>
        <w:rPr>
          <w:color w:val="231F20"/>
          <w:spacing w:val="30"/>
        </w:rPr>
        <w:t> </w:t>
      </w:r>
      <w:r>
        <w:rPr>
          <w:color w:val="231F20"/>
        </w:rPr>
        <w:t>0.08</w:t>
      </w:r>
      <w:r>
        <w:rPr>
          <w:color w:val="231F20"/>
          <w:spacing w:val="30"/>
        </w:rPr>
        <w:t> </w:t>
      </w:r>
      <w:r>
        <w:rPr>
          <w:color w:val="231F20"/>
        </w:rPr>
        <w:t>bis</w:t>
      </w:r>
      <w:r>
        <w:rPr>
          <w:b w:val="0"/>
          <w:bCs w:val="0"/>
        </w:rPr>
      </w:r>
    </w:p>
    <w:p>
      <w:pPr>
        <w:spacing w:line="230" w:lineRule="exact" w:before="0"/>
        <w:ind w:left="106" w:right="128" w:firstLine="0"/>
        <w:jc w:val="both"/>
        <w:rPr>
          <w:rFonts w:ascii="Theinhardt Bold" w:hAnsi="Theinhardt Bold" w:cs="Theinhardt Bold" w:eastAsia="Theinhardt Bold"/>
          <w:sz w:val="18"/>
          <w:szCs w:val="18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0.10</w:t>
      </w:r>
      <w:r>
        <w:rPr>
          <w:rFonts w:ascii="Theinhardt Bold" w:hAnsi="Theinhardt Bold" w:cs="Theinhardt Bold" w:eastAsia="Theinhardt Bold"/>
          <w:b/>
          <w:bCs/>
          <w:color w:val="231F20"/>
          <w:spacing w:val="2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W/m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position w:val="6"/>
          <w:sz w:val="10"/>
          <w:szCs w:val="10"/>
        </w:rPr>
        <w:t>2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K,</w:t>
      </w:r>
      <w:r>
        <w:rPr>
          <w:rFonts w:ascii="Theinhardt Bold" w:hAnsi="Theinhardt Bold" w:cs="Theinhardt Bold" w:eastAsia="Theinhardt Bold"/>
          <w:b/>
          <w:bCs/>
          <w:color w:val="231F20"/>
          <w:spacing w:val="2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sparsamen</w:t>
      </w:r>
      <w:r>
        <w:rPr>
          <w:rFonts w:ascii="Theinhardt Bold" w:hAnsi="Theinhardt Bold" w:cs="Theinhardt Bold" w:eastAsia="Theinhardt Bold"/>
          <w:b/>
          <w:bCs/>
          <w:color w:val="231F20"/>
          <w:spacing w:val="2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Haushaltsgeräten</w:t>
      </w:r>
      <w:r>
        <w:rPr>
          <w:rFonts w:ascii="Theinhardt Bold" w:hAnsi="Theinhardt Bold" w:cs="Theinhardt Bold" w:eastAsia="Theinhardt Bold"/>
          <w:b/>
          <w:bCs/>
          <w:color w:val="231F20"/>
          <w:spacing w:val="3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inkl.</w:t>
      </w:r>
      <w:r>
        <w:rPr>
          <w:rFonts w:ascii="Theinhardt Bold" w:hAnsi="Theinhardt Bold" w:cs="Theinhardt Bold" w:eastAsia="Theinhardt Bold"/>
          <w:b/>
          <w:bCs/>
          <w:color w:val="231F20"/>
          <w:spacing w:val="2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2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Wärmerückgewinnungsanlage</w:t>
      </w:r>
      <w:r>
        <w:rPr>
          <w:rFonts w:ascii="Theinhardt Bold" w:hAnsi="Theinhardt Bold" w:cs="Theinhardt Bold" w:eastAsia="Theinhardt Bold"/>
          <w:b/>
          <w:bCs/>
          <w:color w:val="231F20"/>
          <w:spacing w:val="2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weist</w:t>
      </w:r>
      <w:r>
        <w:rPr>
          <w:rFonts w:ascii="Theinhardt Bold" w:hAnsi="Theinhardt Bold" w:cs="Theinhardt Bold" w:eastAsia="Theinhardt Bold"/>
          <w:b/>
          <w:bCs/>
          <w:color w:val="231F20"/>
          <w:spacing w:val="3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das</w:t>
      </w:r>
      <w:r>
        <w:rPr>
          <w:rFonts w:ascii="Theinhardt Bold" w:hAnsi="Theinhardt Bold" w:cs="Theinhardt Bold" w:eastAsia="Theinhardt Bold"/>
          <w:b/>
          <w:bCs/>
          <w:color w:val="231F20"/>
          <w:spacing w:val="8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PlusEnergie-EFH</w:t>
      </w:r>
      <w:r>
        <w:rPr>
          <w:rFonts w:ascii="Theinhardt Bold" w:hAnsi="Theinhardt Bold" w:cs="Theinhardt Bold" w:eastAsia="Theinhardt Bold"/>
          <w:b/>
          <w:bCs/>
          <w:color w:val="231F20"/>
          <w:spacing w:val="3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eine</w:t>
      </w:r>
      <w:r>
        <w:rPr>
          <w:rFonts w:ascii="Theinhardt Bold" w:hAnsi="Theinhardt Bold" w:cs="Theinhardt Bold" w:eastAsia="Theinhardt Bold"/>
          <w:b/>
          <w:bCs/>
          <w:color w:val="231F20"/>
          <w:spacing w:val="3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niedrige</w:t>
      </w:r>
      <w:r>
        <w:rPr>
          <w:rFonts w:ascii="Theinhardt Bold" w:hAnsi="Theinhardt Bold" w:cs="Theinhardt Bold" w:eastAsia="Theinhardt Bold"/>
          <w:b/>
          <w:bCs/>
          <w:color w:val="231F20"/>
          <w:spacing w:val="3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Energiekennzahl</w:t>
      </w:r>
      <w:r>
        <w:rPr>
          <w:rFonts w:ascii="Theinhardt Bold" w:hAnsi="Theinhardt Bold" w:cs="Theinhardt Bold" w:eastAsia="Theinhardt Bold"/>
          <w:b/>
          <w:bCs/>
          <w:color w:val="231F20"/>
          <w:spacing w:val="3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(EKZ)</w:t>
      </w:r>
      <w:r>
        <w:rPr>
          <w:rFonts w:ascii="Theinhardt Bold" w:hAnsi="Theinhardt Bold" w:cs="Theinhardt Bold" w:eastAsia="Theinhardt Bold"/>
          <w:b/>
          <w:bCs/>
          <w:color w:val="231F20"/>
          <w:spacing w:val="3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von</w:t>
      </w:r>
      <w:r>
        <w:rPr>
          <w:rFonts w:ascii="Theinhardt Bold" w:hAnsi="Theinhardt Bold" w:cs="Theinhardt Bold" w:eastAsia="Theinhardt Bold"/>
          <w:b/>
          <w:bCs/>
          <w:color w:val="231F20"/>
          <w:spacing w:val="3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21</w:t>
      </w:r>
      <w:r>
        <w:rPr>
          <w:rFonts w:ascii="Theinhardt Bold" w:hAnsi="Theinhardt Bold" w:cs="Theinhardt Bold" w:eastAsia="Theinhardt Bold"/>
          <w:b/>
          <w:bCs/>
          <w:color w:val="231F20"/>
          <w:spacing w:val="3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kWh/m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position w:val="6"/>
          <w:sz w:val="10"/>
          <w:szCs w:val="10"/>
        </w:rPr>
        <w:t>2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a</w:t>
      </w:r>
      <w:r>
        <w:rPr>
          <w:rFonts w:ascii="Theinhardt Bold" w:hAnsi="Theinhardt Bold" w:cs="Theinhardt Bold" w:eastAsia="Theinhardt Bold"/>
          <w:b/>
          <w:bCs/>
          <w:color w:val="231F20"/>
          <w:spacing w:val="3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auf</w:t>
      </w:r>
      <w:r>
        <w:rPr>
          <w:rFonts w:ascii="Theinhardt Bold" w:hAnsi="Theinhardt Bold" w:cs="Theinhardt Bold" w:eastAsia="Theinhardt Bold"/>
          <w:b/>
          <w:bCs/>
          <w:color w:val="231F20"/>
          <w:spacing w:val="3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3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liegt</w:t>
      </w:r>
      <w:r>
        <w:rPr>
          <w:rFonts w:ascii="Theinhardt Bold" w:hAnsi="Theinhardt Bold" w:cs="Theinhardt Bold" w:eastAsia="Theinhardt Bold"/>
          <w:b/>
          <w:bCs/>
          <w:color w:val="231F20"/>
          <w:spacing w:val="3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damit</w:t>
      </w:r>
      <w:r>
        <w:rPr>
          <w:rFonts w:ascii="Theinhardt Bold" w:hAnsi="Theinhardt Bold" w:cs="Theinhardt Bold" w:eastAsia="Theinhardt Bold"/>
          <w:b/>
          <w:bCs/>
          <w:color w:val="231F20"/>
          <w:spacing w:val="6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34.4%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unter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dem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vorbildlichen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Minergie-P-Baustandard.</w:t>
      </w:r>
      <w:r>
        <w:rPr>
          <w:rFonts w:ascii="Theinhardt Bold" w:hAnsi="Theinhardt Bold" w:cs="Theinhardt Bold" w:eastAsia="Theinhardt Bold"/>
          <w:b/>
          <w:bCs/>
          <w:color w:val="231F20"/>
          <w:spacing w:val="1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nach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Süden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ausgerichtete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gut</w:t>
      </w:r>
      <w:r>
        <w:rPr>
          <w:rFonts w:ascii="Theinhardt Bold" w:hAnsi="Theinhardt Bold" w:cs="Theinhardt Bold" w:eastAsia="Theinhardt Bold"/>
          <w:b/>
          <w:bCs/>
          <w:color w:val="231F20"/>
          <w:spacing w:val="9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integrierte</w:t>
      </w:r>
      <w:r>
        <w:rPr>
          <w:rFonts w:ascii="Theinhardt Bold" w:hAnsi="Theinhardt Bold" w:cs="Theinhardt Bold" w:eastAsia="Theinhardt Bold"/>
          <w:b/>
          <w:bCs/>
          <w:color w:val="231F20"/>
          <w:spacing w:val="1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12</w:t>
      </w:r>
      <w:r>
        <w:rPr>
          <w:rFonts w:ascii="Theinhardt Bold" w:hAnsi="Theinhardt Bold" w:cs="Theinhardt Bold" w:eastAsia="Theinhardt Bold"/>
          <w:b/>
          <w:bCs/>
          <w:color w:val="231F20"/>
          <w:spacing w:val="1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kW</w:t>
      </w:r>
      <w:r>
        <w:rPr>
          <w:rFonts w:ascii="Theinhardt Bold" w:hAnsi="Theinhardt Bold" w:cs="Theinhardt Bold" w:eastAsia="Theinhardt Bold"/>
          <w:b/>
          <w:bCs/>
          <w:color w:val="231F20"/>
          <w:spacing w:val="1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starke</w:t>
      </w:r>
      <w:r>
        <w:rPr>
          <w:rFonts w:ascii="Theinhardt Bold" w:hAnsi="Theinhardt Bold" w:cs="Theinhardt Bold" w:eastAsia="Theinhardt Bold"/>
          <w:b/>
          <w:bCs/>
          <w:color w:val="231F20"/>
          <w:spacing w:val="1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PV-Dachanlage</w:t>
      </w:r>
      <w:r>
        <w:rPr>
          <w:rFonts w:ascii="Theinhardt Bold" w:hAnsi="Theinhardt Bold" w:cs="Theinhardt Bold" w:eastAsia="Theinhardt Bold"/>
          <w:b/>
          <w:bCs/>
          <w:color w:val="231F20"/>
          <w:spacing w:val="1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produziert</w:t>
      </w:r>
      <w:r>
        <w:rPr>
          <w:rFonts w:ascii="Theinhardt Bold" w:hAnsi="Theinhardt Bold" w:cs="Theinhardt Bold" w:eastAsia="Theinhardt Bold"/>
          <w:b/>
          <w:bCs/>
          <w:color w:val="231F20"/>
          <w:spacing w:val="1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11’500</w:t>
      </w:r>
      <w:r>
        <w:rPr>
          <w:rFonts w:ascii="Theinhardt Bold" w:hAnsi="Theinhardt Bold" w:cs="Theinhardt Bold" w:eastAsia="Theinhardt Bold"/>
          <w:b/>
          <w:bCs/>
          <w:color w:val="231F20"/>
          <w:spacing w:val="1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kWh/a.</w:t>
      </w:r>
      <w:r>
        <w:rPr>
          <w:rFonts w:ascii="Theinhardt Bold" w:hAnsi="Theinhardt Bold" w:cs="Theinhardt Bold" w:eastAsia="Theinhardt Bold"/>
          <w:b/>
          <w:bCs/>
          <w:color w:val="231F20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Damit</w:t>
      </w:r>
      <w:r>
        <w:rPr>
          <w:rFonts w:ascii="Theinhardt Bold" w:hAnsi="Theinhardt Bold" w:cs="Theinhardt Bold" w:eastAsia="Theinhardt Bold"/>
          <w:b/>
          <w:bCs/>
          <w:color w:val="231F20"/>
          <w:spacing w:val="1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weist</w:t>
      </w:r>
      <w:r>
        <w:rPr>
          <w:rFonts w:ascii="Theinhardt Bold" w:hAnsi="Theinhardt Bold" w:cs="Theinhardt Bold" w:eastAsia="Theinhardt Bold"/>
          <w:b/>
          <w:bCs/>
          <w:color w:val="231F20"/>
          <w:spacing w:val="1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das</w:t>
      </w:r>
      <w:r>
        <w:rPr>
          <w:rFonts w:ascii="Theinhardt Bold" w:hAnsi="Theinhardt Bold" w:cs="Theinhardt Bold" w:eastAsia="Theinhardt Bold"/>
          <w:b/>
          <w:bCs/>
          <w:color w:val="231F20"/>
          <w:spacing w:val="1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Gebäude</w:t>
      </w:r>
      <w:r>
        <w:rPr>
          <w:rFonts w:ascii="Theinhardt Bold" w:hAnsi="Theinhardt Bold" w:cs="Theinhardt Bold" w:eastAsia="Theinhardt Bold"/>
          <w:b/>
          <w:bCs/>
          <w:color w:val="231F20"/>
          <w:spacing w:val="6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eine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Eigenenergieversorgung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von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273%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auf.</w:t>
      </w:r>
      <w:r>
        <w:rPr>
          <w:rFonts w:ascii="Theinhardt Bold" w:hAnsi="Theinhardt Bold" w:cs="Theinhardt Bold" w:eastAsia="Theinhardt 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Verwendung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von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Holz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als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Baumaterial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reduziert</w:t>
      </w:r>
      <w:r>
        <w:rPr>
          <w:rFonts w:ascii="Theinhardt Bold" w:hAnsi="Theinhardt Bold" w:cs="Theinhardt Bold" w:eastAsia="Theinhardt Bold"/>
          <w:b/>
          <w:bCs/>
          <w:color w:val="231F20"/>
          <w:spacing w:val="6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2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Herstellungsenergie</w:t>
      </w:r>
      <w:r>
        <w:rPr>
          <w:rFonts w:ascii="Theinhardt Bold" w:hAnsi="Theinhardt Bold" w:cs="Theinhardt Bold" w:eastAsia="Theinhardt Bold"/>
          <w:b/>
          <w:bCs/>
          <w:color w:val="231F20"/>
          <w:spacing w:val="2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(graue</w:t>
      </w:r>
      <w:r>
        <w:rPr>
          <w:rFonts w:ascii="Theinhardt Bold" w:hAnsi="Theinhardt Bold" w:cs="Theinhardt Bold" w:eastAsia="Theinhardt Bold"/>
          <w:b/>
          <w:bCs/>
          <w:color w:val="231F20"/>
          <w:spacing w:val="2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Energie)</w:t>
      </w:r>
      <w:r>
        <w:rPr>
          <w:rFonts w:ascii="Theinhardt Bold" w:hAnsi="Theinhardt Bold" w:cs="Theinhardt Bold" w:eastAsia="Theinhardt Bold"/>
          <w:b/>
          <w:bCs/>
          <w:color w:val="231F20"/>
          <w:spacing w:val="2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2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rundet</w:t>
      </w:r>
      <w:r>
        <w:rPr>
          <w:rFonts w:ascii="Theinhardt Bold" w:hAnsi="Theinhardt Bold" w:cs="Theinhardt Bold" w:eastAsia="Theinhardt Bold"/>
          <w:b/>
          <w:bCs/>
          <w:color w:val="231F20"/>
          <w:spacing w:val="2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das</w:t>
      </w:r>
      <w:r>
        <w:rPr>
          <w:rFonts w:ascii="Theinhardt Bold" w:hAnsi="Theinhardt Bold" w:cs="Theinhardt Bold" w:eastAsia="Theinhardt Bold"/>
          <w:b/>
          <w:bCs/>
          <w:color w:val="231F20"/>
          <w:spacing w:val="2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ökologisch</w:t>
      </w:r>
      <w:r>
        <w:rPr>
          <w:rFonts w:ascii="Theinhardt Bold" w:hAnsi="Theinhardt Bold" w:cs="Theinhardt Bold" w:eastAsia="Theinhardt Bold"/>
          <w:b/>
          <w:bCs/>
          <w:color w:val="231F20"/>
          <w:spacing w:val="2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vorbildliche</w:t>
      </w:r>
      <w:r>
        <w:rPr>
          <w:rFonts w:ascii="Theinhardt Bold" w:hAnsi="Theinhardt Bold" w:cs="Theinhardt Bold" w:eastAsia="Theinhardt Bold"/>
          <w:b/>
          <w:bCs/>
          <w:color w:val="231F20"/>
          <w:spacing w:val="2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Konzept</w:t>
      </w:r>
      <w:r>
        <w:rPr>
          <w:rFonts w:ascii="Theinhardt Bold" w:hAnsi="Theinhardt Bold" w:cs="Theinhardt Bold" w:eastAsia="Theinhardt Bold"/>
          <w:b/>
          <w:bCs/>
          <w:color w:val="231F20"/>
          <w:spacing w:val="2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des</w:t>
      </w:r>
      <w:r>
        <w:rPr>
          <w:rFonts w:ascii="Theinhardt Bold" w:hAnsi="Theinhardt Bold" w:cs="Theinhardt Bold" w:eastAsia="Theinhardt Bold"/>
          <w:b/>
          <w:bCs/>
          <w:color w:val="231F20"/>
          <w:spacing w:val="10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PlusEnergie-EFH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ab.</w:t>
      </w:r>
      <w:r>
        <w:rPr>
          <w:rFonts w:ascii="Theinhardt Bold" w:hAnsi="Theinhardt Bold" w:cs="Theinhardt Bold" w:eastAsia="Theinhardt Bold"/>
          <w:sz w:val="18"/>
          <w:szCs w:val="18"/>
        </w:rPr>
      </w:r>
    </w:p>
    <w:p>
      <w:pPr>
        <w:spacing w:after="0" w:line="230" w:lineRule="exact"/>
        <w:jc w:val="both"/>
        <w:rPr>
          <w:rFonts w:ascii="Theinhardt Bold" w:hAnsi="Theinhardt Bold" w:cs="Theinhardt Bold" w:eastAsia="Theinhardt Bold"/>
          <w:sz w:val="18"/>
          <w:szCs w:val="18"/>
        </w:rPr>
        <w:sectPr>
          <w:type w:val="continuous"/>
          <w:pgSz w:w="11910" w:h="16840"/>
          <w:pgMar w:top="840" w:bottom="280" w:left="740" w:right="440"/>
          <w:cols w:num="2" w:equalWidth="0">
            <w:col w:w="2546" w:space="133"/>
            <w:col w:w="8051"/>
          </w:cols>
        </w:sect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1"/>
        <w:rPr>
          <w:rFonts w:ascii="Theinhardt Bold" w:hAnsi="Theinhardt Bold" w:cs="Theinhardt Bold" w:eastAsia="Theinhardt Bold"/>
          <w:b/>
          <w:bCs/>
          <w:sz w:val="26"/>
          <w:szCs w:val="26"/>
        </w:rPr>
      </w:pPr>
    </w:p>
    <w:p>
      <w:pPr>
        <w:spacing w:before="5"/>
        <w:ind w:left="106" w:right="0" w:firstLine="0"/>
        <w:jc w:val="left"/>
        <w:rPr>
          <w:rFonts w:ascii="Theinhardt Black" w:hAnsi="Theinhardt Black" w:cs="Theinhardt Black" w:eastAsia="Theinhardt Black"/>
          <w:sz w:val="40"/>
          <w:szCs w:val="40"/>
        </w:rPr>
      </w:pPr>
      <w:r>
        <w:rPr>
          <w:rFonts w:ascii="Theinhardt Black"/>
          <w:b/>
          <w:color w:val="0067B1"/>
          <w:spacing w:val="1"/>
          <w:sz w:val="40"/>
        </w:rPr>
        <w:t>273%-PlusEnergie-EFH,</w:t>
      </w:r>
      <w:r>
        <w:rPr>
          <w:rFonts w:ascii="Theinhardt Black"/>
          <w:b/>
          <w:color w:val="0067B1"/>
          <w:spacing w:val="-24"/>
          <w:sz w:val="40"/>
        </w:rPr>
        <w:t> </w:t>
      </w:r>
      <w:r>
        <w:rPr>
          <w:rFonts w:ascii="Theinhardt Black"/>
          <w:b/>
          <w:color w:val="0067B1"/>
          <w:sz w:val="40"/>
        </w:rPr>
        <w:t>8222 </w:t>
      </w:r>
      <w:r>
        <w:rPr>
          <w:rFonts w:ascii="Theinhardt Black"/>
          <w:b/>
          <w:color w:val="0067B1"/>
          <w:spacing w:val="2"/>
          <w:sz w:val="40"/>
        </w:rPr>
        <w:t>Beringen/SH</w:t>
      </w:r>
      <w:r>
        <w:rPr>
          <w:rFonts w:ascii="Theinhardt Black"/>
          <w:sz w:val="40"/>
        </w:rPr>
      </w:r>
    </w:p>
    <w:p>
      <w:pPr>
        <w:spacing w:line="240" w:lineRule="auto" w:before="2"/>
        <w:rPr>
          <w:rFonts w:ascii="Theinhardt Black" w:hAnsi="Theinhardt Black" w:cs="Theinhardt Black" w:eastAsia="Theinhardt Black"/>
          <w:b/>
          <w:bCs/>
          <w:sz w:val="23"/>
          <w:szCs w:val="23"/>
        </w:rPr>
      </w:pPr>
    </w:p>
    <w:p>
      <w:pPr>
        <w:spacing w:after="0" w:line="240" w:lineRule="auto"/>
        <w:rPr>
          <w:rFonts w:ascii="Theinhardt Black" w:hAnsi="Theinhardt Black" w:cs="Theinhardt Black" w:eastAsia="Theinhardt Black"/>
          <w:sz w:val="23"/>
          <w:szCs w:val="23"/>
        </w:rPr>
        <w:sectPr>
          <w:type w:val="continuous"/>
          <w:pgSz w:w="11910" w:h="16840"/>
          <w:pgMar w:top="840" w:bottom="280" w:left="740" w:right="440"/>
        </w:sectPr>
      </w:pPr>
    </w:p>
    <w:p>
      <w:pPr>
        <w:pStyle w:val="BodyText"/>
        <w:spacing w:line="230" w:lineRule="exact"/>
        <w:ind w:right="0"/>
        <w:jc w:val="both"/>
      </w:pPr>
      <w:r>
        <w:rPr>
          <w:color w:val="231F20"/>
          <w:spacing w:val="1"/>
        </w:rPr>
        <w:t>Das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schlicht</w:t>
      </w:r>
      <w:r>
        <w:rPr>
          <w:color w:val="231F20"/>
          <w:spacing w:val="8"/>
        </w:rPr>
        <w:t> </w:t>
      </w:r>
      <w:r>
        <w:rPr>
          <w:color w:val="231F20"/>
        </w:rPr>
        <w:t>gestaltete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PlusEnergie-Holz-</w:t>
      </w:r>
      <w:r>
        <w:rPr>
          <w:color w:val="231F20"/>
          <w:spacing w:val="38"/>
        </w:rPr>
        <w:t> </w:t>
      </w:r>
      <w:r>
        <w:rPr>
          <w:color w:val="231F20"/>
        </w:rPr>
        <w:t>haus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wurde</w:t>
      </w:r>
      <w:r>
        <w:rPr>
          <w:color w:val="231F20"/>
          <w:spacing w:val="22"/>
        </w:rPr>
        <w:t> </w:t>
      </w:r>
      <w:r>
        <w:rPr>
          <w:color w:val="231F20"/>
        </w:rPr>
        <w:t>2018</w:t>
      </w:r>
      <w:r>
        <w:rPr>
          <w:color w:val="231F20"/>
          <w:spacing w:val="22"/>
        </w:rPr>
        <w:t> </w:t>
      </w:r>
      <w:r>
        <w:rPr>
          <w:color w:val="231F20"/>
        </w:rPr>
        <w:t>auf</w:t>
      </w:r>
      <w:r>
        <w:rPr>
          <w:color w:val="231F20"/>
          <w:spacing w:val="22"/>
        </w:rPr>
        <w:t> </w:t>
      </w:r>
      <w:r>
        <w:rPr>
          <w:color w:val="231F20"/>
        </w:rPr>
        <w:t>einem</w:t>
      </w:r>
      <w:r>
        <w:rPr>
          <w:color w:val="231F20"/>
          <w:spacing w:val="22"/>
        </w:rPr>
        <w:t> </w:t>
      </w:r>
      <w:r>
        <w:rPr>
          <w:color w:val="231F20"/>
        </w:rPr>
        <w:t>bestehenden</w:t>
      </w:r>
      <w:r>
        <w:rPr>
          <w:color w:val="231F20"/>
          <w:spacing w:val="24"/>
        </w:rPr>
        <w:t> </w:t>
      </w:r>
      <w:r>
        <w:rPr>
          <w:color w:val="231F20"/>
        </w:rPr>
        <w:t>Grundstück </w:t>
      </w:r>
      <w:r>
        <w:rPr>
          <w:color w:val="231F20"/>
          <w:spacing w:val="-1"/>
        </w:rPr>
        <w:t>zwischen</w:t>
      </w:r>
      <w:r>
        <w:rPr>
          <w:color w:val="231F20"/>
        </w:rPr>
        <w:t> zwei </w:t>
      </w:r>
      <w:r>
        <w:rPr>
          <w:color w:val="231F20"/>
          <w:spacing w:val="-1"/>
        </w:rPr>
        <w:t>Häusern</w:t>
      </w:r>
      <w:r>
        <w:rPr>
          <w:color w:val="231F20"/>
        </w:rPr>
        <w:t> erstellt.</w:t>
      </w:r>
      <w:r>
        <w:rPr>
          <w:color w:val="231F20"/>
          <w:spacing w:val="36"/>
        </w:rPr>
        <w:t> </w:t>
      </w:r>
      <w:r>
        <w:rPr>
          <w:color w:val="231F20"/>
        </w:rPr>
        <w:t>Eine</w:t>
      </w:r>
      <w:r>
        <w:rPr>
          <w:color w:val="231F20"/>
          <w:spacing w:val="7"/>
        </w:rPr>
        <w:t> </w:t>
      </w:r>
      <w:r>
        <w:rPr>
          <w:color w:val="231F20"/>
        </w:rPr>
        <w:t>hervorragende</w:t>
      </w:r>
      <w:r>
        <w:rPr>
          <w:color w:val="231F20"/>
          <w:spacing w:val="7"/>
        </w:rPr>
        <w:t> </w:t>
      </w:r>
      <w:r>
        <w:rPr>
          <w:color w:val="231F20"/>
        </w:rPr>
        <w:t>Dämmung</w:t>
      </w:r>
      <w:r>
        <w:rPr>
          <w:color w:val="231F20"/>
          <w:spacing w:val="7"/>
        </w:rPr>
        <w:t> </w:t>
      </w:r>
      <w:r>
        <w:rPr>
          <w:color w:val="231F20"/>
        </w:rPr>
        <w:t>des</w:t>
      </w:r>
      <w:r>
        <w:rPr>
          <w:color w:val="231F20"/>
          <w:spacing w:val="7"/>
        </w:rPr>
        <w:t> </w:t>
      </w:r>
      <w:r>
        <w:rPr>
          <w:color w:val="231F20"/>
        </w:rPr>
        <w:t>Gebäu-</w:t>
      </w:r>
      <w:r>
        <w:rPr>
          <w:color w:val="231F20"/>
          <w:spacing w:val="23"/>
        </w:rPr>
        <w:t> </w:t>
      </w:r>
      <w:r>
        <w:rPr>
          <w:color w:val="231F20"/>
        </w:rPr>
        <w:t>des</w:t>
      </w:r>
      <w:r>
        <w:rPr>
          <w:color w:val="231F20"/>
          <w:spacing w:val="24"/>
        </w:rPr>
        <w:t> </w:t>
      </w:r>
      <w:r>
        <w:rPr>
          <w:color w:val="231F20"/>
        </w:rPr>
        <w:t>mit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sehr</w:t>
      </w:r>
      <w:r>
        <w:rPr>
          <w:color w:val="231F20"/>
          <w:spacing w:val="24"/>
        </w:rPr>
        <w:t> </w:t>
      </w:r>
      <w:r>
        <w:rPr>
          <w:color w:val="231F20"/>
        </w:rPr>
        <w:t>guten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U-Werten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sorgt</w:t>
      </w:r>
      <w:r>
        <w:rPr>
          <w:color w:val="231F20"/>
          <w:spacing w:val="24"/>
        </w:rPr>
        <w:t> </w:t>
      </w:r>
      <w:r>
        <w:rPr>
          <w:color w:val="231F20"/>
        </w:rPr>
        <w:t>für</w:t>
      </w:r>
      <w:r>
        <w:rPr>
          <w:color w:val="231F20"/>
          <w:spacing w:val="21"/>
        </w:rPr>
        <w:t> </w:t>
      </w:r>
      <w:r>
        <w:rPr>
          <w:color w:val="231F20"/>
        </w:rPr>
        <w:t>minimale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Wärmeverluste.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Zusammen</w:t>
      </w:r>
      <w:r>
        <w:rPr>
          <w:color w:val="231F20"/>
          <w:spacing w:val="30"/>
        </w:rPr>
        <w:t> </w:t>
      </w:r>
      <w:r>
        <w:rPr>
          <w:color w:val="231F20"/>
        </w:rPr>
        <w:t>mit</w:t>
      </w:r>
      <w:r>
        <w:rPr>
          <w:color w:val="231F20"/>
          <w:spacing w:val="29"/>
        </w:rPr>
        <w:t> </w:t>
      </w:r>
      <w:r>
        <w:rPr>
          <w:color w:val="231F20"/>
        </w:rPr>
        <w:t>der</w:t>
      </w:r>
      <w:r>
        <w:rPr>
          <w:color w:val="231F20"/>
          <w:spacing w:val="-9"/>
        </w:rPr>
        <w:t> </w:t>
      </w:r>
      <w:r>
        <w:rPr>
          <w:color w:val="231F20"/>
        </w:rPr>
        <w:t>optimalen</w:t>
      </w:r>
      <w:r>
        <w:rPr>
          <w:color w:val="231F20"/>
          <w:spacing w:val="-9"/>
        </w:rPr>
        <w:t> </w:t>
      </w:r>
      <w:r>
        <w:rPr>
          <w:color w:val="231F20"/>
        </w:rPr>
        <w:t>Dämmung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sorgt</w:t>
      </w:r>
      <w:r>
        <w:rPr>
          <w:color w:val="231F20"/>
          <w:spacing w:val="-9"/>
        </w:rPr>
        <w:t> </w:t>
      </w:r>
      <w:r>
        <w:rPr>
          <w:color w:val="231F20"/>
        </w:rPr>
        <w:t>eine</w:t>
      </w:r>
      <w:r>
        <w:rPr>
          <w:color w:val="231F20"/>
          <w:spacing w:val="-9"/>
        </w:rPr>
        <w:t> </w:t>
      </w:r>
      <w:r>
        <w:rPr>
          <w:color w:val="231F20"/>
        </w:rPr>
        <w:t>effizien-</w:t>
      </w:r>
      <w:r>
        <w:rPr>
          <w:color w:val="231F20"/>
          <w:spacing w:val="24"/>
        </w:rPr>
        <w:t> </w:t>
      </w:r>
      <w:r>
        <w:rPr>
          <w:color w:val="231F20"/>
        </w:rPr>
        <w:t>te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Wärmepumpe</w:t>
      </w:r>
      <w:r>
        <w:rPr>
          <w:color w:val="231F20"/>
          <w:spacing w:val="46"/>
        </w:rPr>
        <w:t> </w:t>
      </w:r>
      <w:r>
        <w:rPr>
          <w:color w:val="231F20"/>
        </w:rPr>
        <w:t>für</w:t>
      </w:r>
      <w:r>
        <w:rPr>
          <w:color w:val="231F20"/>
          <w:spacing w:val="45"/>
        </w:rPr>
        <w:t> </w:t>
      </w:r>
      <w:r>
        <w:rPr>
          <w:color w:val="231F20"/>
        </w:rPr>
        <w:t>einen</w:t>
      </w:r>
      <w:r>
        <w:rPr>
          <w:color w:val="231F20"/>
          <w:spacing w:val="46"/>
        </w:rPr>
        <w:t> </w:t>
      </w:r>
      <w:r>
        <w:rPr>
          <w:color w:val="231F20"/>
        </w:rPr>
        <w:t>niedrigen</w:t>
      </w:r>
      <w:r>
        <w:rPr>
          <w:color w:val="231F20"/>
          <w:spacing w:val="46"/>
        </w:rPr>
        <w:t> </w:t>
      </w:r>
      <w:r>
        <w:rPr>
          <w:color w:val="231F20"/>
        </w:rPr>
        <w:t>Ge-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samtenergiebedarf</w:t>
      </w:r>
      <w:r>
        <w:rPr>
          <w:color w:val="231F20"/>
          <w:spacing w:val="42"/>
        </w:rPr>
        <w:t> </w:t>
      </w:r>
      <w:r>
        <w:rPr>
          <w:color w:val="231F20"/>
        </w:rPr>
        <w:t>von</w:t>
      </w:r>
      <w:r>
        <w:rPr>
          <w:color w:val="231F20"/>
          <w:spacing w:val="43"/>
        </w:rPr>
        <w:t> </w:t>
      </w:r>
      <w:r>
        <w:rPr>
          <w:color w:val="231F20"/>
        </w:rPr>
        <w:t>4’200</w:t>
      </w:r>
      <w:r>
        <w:rPr>
          <w:color w:val="231F20"/>
          <w:spacing w:val="42"/>
        </w:rPr>
        <w:t> </w:t>
      </w:r>
      <w:r>
        <w:rPr>
          <w:color w:val="231F20"/>
          <w:spacing w:val="-2"/>
        </w:rPr>
        <w:t>kWh/a.</w:t>
      </w:r>
      <w:r>
        <w:rPr>
          <w:color w:val="231F20"/>
          <w:spacing w:val="33"/>
        </w:rPr>
        <w:t> </w:t>
      </w:r>
      <w:r>
        <w:rPr>
          <w:color w:val="231F20"/>
        </w:rPr>
        <w:t>Mit</w:t>
      </w:r>
      <w:r>
        <w:rPr>
          <w:color w:val="231F20"/>
          <w:spacing w:val="38"/>
        </w:rPr>
        <w:t> </w:t>
      </w:r>
      <w:r>
        <w:rPr>
          <w:color w:val="231F20"/>
        </w:rPr>
        <w:t>der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Energiekennzahl</w:t>
      </w:r>
      <w:r>
        <w:rPr>
          <w:color w:val="231F20"/>
          <w:spacing w:val="28"/>
        </w:rPr>
        <w:t> </w:t>
      </w:r>
      <w:r>
        <w:rPr>
          <w:color w:val="231F20"/>
        </w:rPr>
        <w:t>21</w:t>
      </w:r>
      <w:r>
        <w:rPr>
          <w:color w:val="231F20"/>
          <w:spacing w:val="28"/>
        </w:rPr>
        <w:t> </w:t>
      </w:r>
      <w:r>
        <w:rPr>
          <w:color w:val="231F20"/>
        </w:rPr>
        <w:t>kWh/m</w:t>
      </w:r>
      <w:r>
        <w:rPr>
          <w:color w:val="231F20"/>
          <w:position w:val="6"/>
          <w:sz w:val="10"/>
          <w:szCs w:val="10"/>
        </w:rPr>
        <w:t>2</w:t>
      </w:r>
      <w:r>
        <w:rPr>
          <w:color w:val="231F20"/>
        </w:rPr>
        <w:t>a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erreicht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dieses</w:t>
      </w:r>
      <w:r>
        <w:rPr>
          <w:color w:val="231F20"/>
          <w:spacing w:val="29"/>
        </w:rPr>
        <w:t> </w:t>
      </w:r>
      <w:r>
        <w:rPr>
          <w:color w:val="231F20"/>
        </w:rPr>
        <w:t>Einfamilienhaus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(EFH)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spielend</w:t>
      </w:r>
      <w:r>
        <w:rPr>
          <w:color w:val="231F20"/>
          <w:spacing w:val="30"/>
        </w:rPr>
        <w:t> </w:t>
      </w:r>
      <w:r>
        <w:rPr>
          <w:color w:val="231F20"/>
        </w:rPr>
        <w:t>die</w:t>
      </w:r>
      <w:r>
        <w:rPr>
          <w:color w:val="231F20"/>
          <w:spacing w:val="27"/>
        </w:rPr>
        <w:t> </w:t>
      </w:r>
      <w:r>
        <w:rPr>
          <w:color w:val="231F20"/>
        </w:rPr>
        <w:t>Minergie-P-Zertifizierung.</w:t>
      </w:r>
      <w:r>
        <w:rPr>
          <w:color w:val="231F20"/>
          <w:spacing w:val="13"/>
        </w:rPr>
        <w:t> </w:t>
      </w:r>
      <w:r>
        <w:rPr>
          <w:color w:val="231F20"/>
        </w:rPr>
        <w:t>Auf</w:t>
      </w:r>
      <w:r>
        <w:rPr>
          <w:color w:val="231F20"/>
          <w:spacing w:val="24"/>
        </w:rPr>
        <w:t> </w:t>
      </w:r>
      <w:r>
        <w:rPr>
          <w:color w:val="231F20"/>
        </w:rPr>
        <w:t>der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Südseite</w:t>
      </w:r>
      <w:r>
        <w:rPr>
          <w:color w:val="231F20"/>
          <w:spacing w:val="27"/>
        </w:rPr>
        <w:t> </w:t>
      </w:r>
      <w:r>
        <w:rPr>
          <w:color w:val="231F20"/>
        </w:rPr>
        <w:t>des</w:t>
      </w:r>
      <w:r>
        <w:rPr>
          <w:color w:val="231F20"/>
          <w:spacing w:val="-11"/>
        </w:rPr>
        <w:t> </w:t>
      </w:r>
      <w:r>
        <w:rPr>
          <w:color w:val="231F20"/>
        </w:rPr>
        <w:t>Satteldachs</w:t>
      </w:r>
      <w:r>
        <w:rPr>
          <w:color w:val="231F20"/>
          <w:spacing w:val="-11"/>
        </w:rPr>
        <w:t> </w:t>
      </w:r>
      <w:r>
        <w:rPr>
          <w:color w:val="231F20"/>
        </w:rPr>
        <w:t>ist</w:t>
      </w:r>
      <w:r>
        <w:rPr>
          <w:color w:val="231F20"/>
          <w:spacing w:val="-11"/>
        </w:rPr>
        <w:t> </w:t>
      </w:r>
      <w:r>
        <w:rPr>
          <w:color w:val="231F20"/>
        </w:rPr>
        <w:t>eine</w:t>
      </w:r>
      <w:r>
        <w:rPr>
          <w:color w:val="231F20"/>
          <w:spacing w:val="-11"/>
        </w:rPr>
        <w:t> </w:t>
      </w:r>
      <w:r>
        <w:rPr>
          <w:color w:val="231F20"/>
        </w:rPr>
        <w:t>ganzflächige</w:t>
      </w:r>
      <w:r>
        <w:rPr>
          <w:color w:val="231F20"/>
          <w:spacing w:val="-11"/>
        </w:rPr>
        <w:t> </w:t>
      </w:r>
      <w:r>
        <w:rPr>
          <w:color w:val="231F20"/>
        </w:rPr>
        <w:t>12</w:t>
      </w:r>
      <w:r>
        <w:rPr>
          <w:color w:val="231F20"/>
          <w:spacing w:val="-11"/>
        </w:rPr>
        <w:t> </w:t>
      </w:r>
      <w:r>
        <w:rPr>
          <w:color w:val="231F20"/>
        </w:rPr>
        <w:t>kW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starke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PV-Anlage</w:t>
      </w:r>
      <w:r>
        <w:rPr>
          <w:color w:val="231F20"/>
          <w:spacing w:val="29"/>
        </w:rPr>
        <w:t> </w:t>
      </w:r>
      <w:r>
        <w:rPr>
          <w:color w:val="231F20"/>
        </w:rPr>
        <w:t>vorbildlich</w:t>
      </w:r>
      <w:r>
        <w:rPr>
          <w:color w:val="231F20"/>
          <w:spacing w:val="28"/>
        </w:rPr>
        <w:t> </w:t>
      </w:r>
      <w:r>
        <w:rPr>
          <w:color w:val="231F20"/>
        </w:rPr>
        <w:t>integriert.</w:t>
      </w:r>
      <w:r>
        <w:rPr>
          <w:color w:val="231F20"/>
          <w:spacing w:val="18"/>
        </w:rPr>
        <w:t> </w:t>
      </w:r>
      <w:r>
        <w:rPr>
          <w:color w:val="231F20"/>
        </w:rPr>
        <w:t>Sie</w:t>
      </w:r>
      <w:r>
        <w:rPr>
          <w:color w:val="231F20"/>
          <w:spacing w:val="34"/>
        </w:rPr>
        <w:t> </w:t>
      </w:r>
      <w:r>
        <w:rPr>
          <w:color w:val="231F20"/>
        </w:rPr>
        <w:t>liefert</w:t>
      </w:r>
      <w:r>
        <w:rPr>
          <w:color w:val="231F20"/>
          <w:spacing w:val="7"/>
        </w:rPr>
        <w:t> </w:t>
      </w:r>
      <w:r>
        <w:rPr>
          <w:color w:val="231F20"/>
        </w:rPr>
        <w:t>mit</w:t>
      </w:r>
      <w:r>
        <w:rPr>
          <w:color w:val="231F20"/>
          <w:spacing w:val="7"/>
        </w:rPr>
        <w:t> </w:t>
      </w:r>
      <w:r>
        <w:rPr>
          <w:color w:val="231F20"/>
        </w:rPr>
        <w:t>11’500</w:t>
      </w:r>
      <w:r>
        <w:rPr>
          <w:color w:val="231F20"/>
          <w:spacing w:val="7"/>
        </w:rPr>
        <w:t> </w:t>
      </w:r>
      <w:r>
        <w:rPr>
          <w:color w:val="231F20"/>
        </w:rPr>
        <w:t>kWh</w:t>
      </w:r>
      <w:r>
        <w:rPr>
          <w:color w:val="231F20"/>
          <w:spacing w:val="7"/>
        </w:rPr>
        <w:t> </w:t>
      </w:r>
      <w:r>
        <w:rPr>
          <w:color w:val="231F20"/>
        </w:rPr>
        <w:t>jährlich</w:t>
      </w:r>
      <w:r>
        <w:rPr>
          <w:color w:val="231F20"/>
          <w:spacing w:val="7"/>
        </w:rPr>
        <w:t> </w:t>
      </w:r>
      <w:r>
        <w:rPr>
          <w:color w:val="231F20"/>
        </w:rPr>
        <w:t>fast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dreimal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so</w:t>
      </w:r>
      <w:r>
        <w:rPr>
          <w:color w:val="231F20"/>
          <w:spacing w:val="6"/>
        </w:rPr>
        <w:t> </w:t>
      </w:r>
      <w:r>
        <w:rPr>
          <w:color w:val="231F20"/>
        </w:rPr>
        <w:t>viel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CO</w:t>
      </w:r>
      <w:r>
        <w:rPr>
          <w:color w:val="231F20"/>
          <w:spacing w:val="-1"/>
          <w:position w:val="-5"/>
          <w:sz w:val="10"/>
          <w:szCs w:val="10"/>
        </w:rPr>
        <w:t>2</w:t>
      </w:r>
      <w:r>
        <w:rPr>
          <w:color w:val="231F20"/>
          <w:spacing w:val="-1"/>
        </w:rPr>
        <w:t>-freie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Solarenergie,</w:t>
      </w:r>
      <w:r>
        <w:rPr>
          <w:color w:val="231F20"/>
          <w:spacing w:val="-4"/>
        </w:rPr>
        <w:t> </w:t>
      </w:r>
      <w:r>
        <w:rPr>
          <w:color w:val="231F20"/>
        </w:rPr>
        <w:t>wie</w:t>
      </w:r>
      <w:r>
        <w:rPr>
          <w:color w:val="231F20"/>
          <w:spacing w:val="6"/>
        </w:rPr>
        <w:t> </w:t>
      </w:r>
      <w:r>
        <w:rPr>
          <w:color w:val="231F20"/>
        </w:rPr>
        <w:t>das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EFH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selbst</w:t>
      </w:r>
      <w:r>
        <w:rPr>
          <w:color w:val="231F20"/>
          <w:spacing w:val="26"/>
        </w:rPr>
        <w:t> </w:t>
      </w:r>
      <w:r>
        <w:rPr>
          <w:color w:val="231F20"/>
        </w:rPr>
        <w:t>benötigt.</w:t>
      </w:r>
      <w:r>
        <w:rPr>
          <w:color w:val="231F20"/>
          <w:spacing w:val="16"/>
        </w:rPr>
        <w:t> </w:t>
      </w:r>
      <w:r>
        <w:rPr>
          <w:color w:val="231F20"/>
        </w:rPr>
        <w:t>Der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Solarstromüberschuss</w:t>
      </w:r>
      <w:r>
        <w:rPr>
          <w:color w:val="231F20"/>
          <w:spacing w:val="38"/>
        </w:rPr>
        <w:t> </w:t>
      </w:r>
      <w:r>
        <w:rPr>
          <w:color w:val="231F20"/>
        </w:rPr>
        <w:t>von</w:t>
      </w:r>
      <w:r>
        <w:rPr>
          <w:color w:val="231F20"/>
          <w:spacing w:val="6"/>
        </w:rPr>
        <w:t> </w:t>
      </w:r>
      <w:r>
        <w:rPr>
          <w:color w:val="231F20"/>
        </w:rPr>
        <w:t>7’300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kWh/a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kompensiert</w:t>
      </w:r>
      <w:r>
        <w:rPr>
          <w:color w:val="231F20"/>
          <w:spacing w:val="6"/>
        </w:rPr>
        <w:t> </w:t>
      </w:r>
      <w:r>
        <w:rPr>
          <w:color w:val="231F20"/>
        </w:rPr>
        <w:t>gleichzeitig</w:t>
      </w:r>
      <w:r>
        <w:rPr>
          <w:color w:val="231F20"/>
          <w:spacing w:val="22"/>
        </w:rPr>
        <w:t> </w:t>
      </w:r>
      <w:r>
        <w:rPr>
          <w:color w:val="231F20"/>
        </w:rPr>
        <w:t>auch </w:t>
      </w:r>
      <w:r>
        <w:rPr>
          <w:color w:val="231F20"/>
          <w:spacing w:val="8"/>
        </w:rPr>
        <w:t> </w:t>
      </w:r>
      <w:r>
        <w:rPr>
          <w:color w:val="231F20"/>
        </w:rPr>
        <w:t>die </w:t>
      </w:r>
      <w:r>
        <w:rPr>
          <w:color w:val="231F20"/>
          <w:spacing w:val="8"/>
        </w:rPr>
        <w:t> </w:t>
      </w:r>
      <w:r>
        <w:rPr>
          <w:color w:val="231F20"/>
        </w:rPr>
        <w:t>160 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kWh/a</w:t>
      </w:r>
      <w:r>
        <w:rPr>
          <w:color w:val="231F20"/>
        </w:rPr>
        <w:t> 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Wärmeenergie</w:t>
      </w:r>
      <w:r>
        <w:rPr>
          <w:color w:val="231F20"/>
        </w:rPr>
        <w:t> </w:t>
      </w:r>
      <w:r>
        <w:rPr>
          <w:color w:val="231F20"/>
          <w:spacing w:val="8"/>
        </w:rPr>
        <w:t> </w:t>
      </w:r>
      <w:r>
        <w:rPr>
          <w:color w:val="231F20"/>
        </w:rPr>
        <w:t>aus</w:t>
      </w:r>
      <w:r>
        <w:rPr/>
      </w:r>
    </w:p>
    <w:p>
      <w:pPr>
        <w:pStyle w:val="BodyText"/>
        <w:spacing w:line="230" w:lineRule="exact"/>
        <w:ind w:right="0"/>
        <w:jc w:val="both"/>
      </w:pPr>
      <w:r>
        <w:rPr/>
        <w:br w:type="column"/>
      </w:r>
      <w:r>
        <w:rPr>
          <w:color w:val="231F20"/>
        </w:rPr>
        <w:t>Holz.</w:t>
      </w:r>
      <w:r>
        <w:rPr>
          <w:color w:val="231F20"/>
          <w:spacing w:val="2"/>
        </w:rPr>
        <w:t> </w:t>
      </w:r>
      <w:r>
        <w:rPr>
          <w:color w:val="231F20"/>
        </w:rPr>
        <w:t>Mit</w:t>
      </w:r>
      <w:r>
        <w:rPr>
          <w:color w:val="231F20"/>
          <w:spacing w:val="13"/>
        </w:rPr>
        <w:t> </w:t>
      </w:r>
      <w:r>
        <w:rPr>
          <w:color w:val="231F20"/>
        </w:rPr>
        <w:t>dem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Solarstromüberschuss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könn-</w:t>
      </w:r>
      <w:r>
        <w:rPr>
          <w:color w:val="231F20"/>
          <w:spacing w:val="29"/>
        </w:rPr>
        <w:t> </w:t>
      </w:r>
      <w:r>
        <w:rPr>
          <w:color w:val="231F20"/>
        </w:rPr>
        <w:t>ten</w:t>
      </w:r>
      <w:r>
        <w:rPr>
          <w:color w:val="231F20"/>
          <w:spacing w:val="40"/>
        </w:rPr>
        <w:t> </w:t>
      </w:r>
      <w:r>
        <w:rPr>
          <w:color w:val="231F20"/>
        </w:rPr>
        <w:t>fünf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Elektrofahrzeuge</w:t>
      </w:r>
      <w:r>
        <w:rPr>
          <w:color w:val="231F20"/>
          <w:spacing w:val="40"/>
        </w:rPr>
        <w:t> </w:t>
      </w:r>
      <w:r>
        <w:rPr>
          <w:color w:val="231F20"/>
        </w:rPr>
        <w:t>jährlich</w:t>
      </w:r>
      <w:r>
        <w:rPr>
          <w:color w:val="231F20"/>
          <w:spacing w:val="41"/>
        </w:rPr>
        <w:t> </w:t>
      </w:r>
      <w:r>
        <w:rPr>
          <w:color w:val="231F20"/>
        </w:rPr>
        <w:t>je</w:t>
      </w:r>
      <w:r>
        <w:rPr>
          <w:color w:val="231F20"/>
          <w:spacing w:val="41"/>
        </w:rPr>
        <w:t> </w:t>
      </w:r>
      <w:r>
        <w:rPr>
          <w:color w:val="231F20"/>
        </w:rPr>
        <w:t>rund</w:t>
      </w:r>
      <w:r>
        <w:rPr>
          <w:color w:val="231F20"/>
          <w:spacing w:val="20"/>
        </w:rPr>
        <w:t> </w:t>
      </w:r>
      <w:r>
        <w:rPr>
          <w:color w:val="231F20"/>
        </w:rPr>
        <w:t>12’000</w:t>
      </w:r>
      <w:r>
        <w:rPr>
          <w:color w:val="231F20"/>
          <w:spacing w:val="-2"/>
        </w:rPr>
        <w:t> </w:t>
      </w:r>
      <w:r>
        <w:rPr>
          <w:color w:val="231F20"/>
        </w:rPr>
        <w:t>km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CO</w:t>
      </w:r>
      <w:r>
        <w:rPr>
          <w:color w:val="231F20"/>
          <w:spacing w:val="-1"/>
          <w:position w:val="-5"/>
          <w:sz w:val="10"/>
          <w:szCs w:val="10"/>
        </w:rPr>
        <w:t>2</w:t>
      </w:r>
      <w:r>
        <w:rPr>
          <w:color w:val="231F20"/>
          <w:spacing w:val="-1"/>
        </w:rPr>
        <w:t>-frei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fahren.</w:t>
      </w:r>
      <w:r>
        <w:rPr>
          <w:color w:val="231F20"/>
          <w:spacing w:val="-12"/>
        </w:rPr>
        <w:t> </w:t>
      </w:r>
      <w:r>
        <w:rPr>
          <w:color w:val="231F20"/>
          <w:spacing w:val="1"/>
        </w:rPr>
        <w:t>Da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nur</w:t>
      </w:r>
      <w:r>
        <w:rPr>
          <w:color w:val="231F20"/>
          <w:spacing w:val="-2"/>
        </w:rPr>
        <w:t> </w:t>
      </w:r>
      <w:r>
        <w:rPr>
          <w:color w:val="231F20"/>
        </w:rPr>
        <w:t>die</w:t>
      </w:r>
      <w:r>
        <w:rPr>
          <w:color w:val="231F20"/>
          <w:spacing w:val="-1"/>
        </w:rPr>
        <w:t> Süd-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dachfläche</w:t>
      </w:r>
      <w:r>
        <w:rPr>
          <w:color w:val="231F20"/>
          <w:spacing w:val="9"/>
        </w:rPr>
        <w:t> </w:t>
      </w:r>
      <w:r>
        <w:rPr>
          <w:color w:val="231F20"/>
        </w:rPr>
        <w:t>mit</w:t>
      </w:r>
      <w:r>
        <w:rPr>
          <w:color w:val="231F20"/>
          <w:spacing w:val="9"/>
        </w:rPr>
        <w:t> </w:t>
      </w:r>
      <w:r>
        <w:rPr>
          <w:color w:val="231F20"/>
        </w:rPr>
        <w:t>Modulen</w:t>
      </w:r>
      <w:r>
        <w:rPr>
          <w:color w:val="231F20"/>
          <w:spacing w:val="9"/>
        </w:rPr>
        <w:t> </w:t>
      </w:r>
      <w:r>
        <w:rPr>
          <w:color w:val="231F20"/>
        </w:rPr>
        <w:t>ausgestattet</w:t>
      </w:r>
      <w:r>
        <w:rPr>
          <w:color w:val="231F20"/>
          <w:spacing w:val="9"/>
        </w:rPr>
        <w:t> </w:t>
      </w:r>
      <w:r>
        <w:rPr>
          <w:color w:val="231F20"/>
        </w:rPr>
        <w:t>ist,</w:t>
      </w:r>
      <w:r>
        <w:rPr>
          <w:color w:val="231F20"/>
          <w:spacing w:val="34"/>
        </w:rPr>
        <w:t> </w:t>
      </w:r>
      <w:r>
        <w:rPr>
          <w:color w:val="231F20"/>
        </w:rPr>
        <w:t>verbleibt</w:t>
      </w:r>
      <w:r>
        <w:rPr>
          <w:color w:val="231F20"/>
          <w:spacing w:val="-2"/>
        </w:rPr>
        <w:t> </w:t>
      </w:r>
      <w:r>
        <w:rPr>
          <w:color w:val="231F20"/>
        </w:rPr>
        <w:t>auf</w:t>
      </w:r>
      <w:r>
        <w:rPr>
          <w:color w:val="231F20"/>
          <w:spacing w:val="-2"/>
        </w:rPr>
        <w:t> </w:t>
      </w:r>
      <w:r>
        <w:rPr>
          <w:color w:val="231F20"/>
        </w:rPr>
        <w:t>dem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Norddach</w:t>
      </w:r>
      <w:r>
        <w:rPr>
          <w:color w:val="231F20"/>
          <w:spacing w:val="-2"/>
        </w:rPr>
        <w:t> </w:t>
      </w:r>
      <w:r>
        <w:rPr>
          <w:color w:val="231F20"/>
        </w:rPr>
        <w:t>eine</w:t>
      </w:r>
      <w:r>
        <w:rPr>
          <w:color w:val="231F20"/>
          <w:spacing w:val="-2"/>
        </w:rPr>
        <w:t> </w:t>
      </w:r>
      <w:r>
        <w:rPr>
          <w:color w:val="231F20"/>
        </w:rPr>
        <w:t>ungenutz-</w:t>
      </w:r>
      <w:r>
        <w:rPr>
          <w:color w:val="231F20"/>
          <w:spacing w:val="27"/>
        </w:rPr>
        <w:t> </w:t>
      </w:r>
      <w:r>
        <w:rPr>
          <w:color w:val="231F20"/>
        </w:rPr>
        <w:t>te</w:t>
      </w:r>
      <w:r>
        <w:rPr>
          <w:color w:val="231F20"/>
          <w:spacing w:val="-1"/>
        </w:rPr>
        <w:t> </w:t>
      </w:r>
      <w:r>
        <w:rPr>
          <w:color w:val="231F20"/>
        </w:rPr>
        <w:t>Dachfläche</w:t>
      </w:r>
      <w:r>
        <w:rPr>
          <w:color w:val="231F20"/>
          <w:spacing w:val="-1"/>
        </w:rPr>
        <w:t> </w:t>
      </w:r>
      <w:r>
        <w:rPr>
          <w:color w:val="231F20"/>
        </w:rPr>
        <w:t>mit</w:t>
      </w:r>
      <w:r>
        <w:rPr>
          <w:color w:val="231F20"/>
          <w:spacing w:val="-1"/>
        </w:rPr>
        <w:t> </w:t>
      </w:r>
      <w:r>
        <w:rPr>
          <w:color w:val="231F20"/>
        </w:rPr>
        <w:t>einem</w:t>
      </w:r>
      <w:r>
        <w:rPr>
          <w:color w:val="231F20"/>
          <w:spacing w:val="-1"/>
        </w:rPr>
        <w:t> Solarstrompotenti-</w:t>
      </w:r>
      <w:r>
        <w:rPr>
          <w:color w:val="231F20"/>
          <w:spacing w:val="26"/>
        </w:rPr>
        <w:t> </w:t>
      </w:r>
      <w:r>
        <w:rPr>
          <w:color w:val="231F20"/>
        </w:rPr>
        <w:t>al</w:t>
      </w:r>
      <w:r>
        <w:rPr>
          <w:color w:val="231F20"/>
          <w:spacing w:val="17"/>
        </w:rPr>
        <w:t> </w:t>
      </w:r>
      <w:r>
        <w:rPr>
          <w:color w:val="231F20"/>
        </w:rPr>
        <w:t>von</w:t>
      </w:r>
      <w:r>
        <w:rPr>
          <w:color w:val="231F20"/>
          <w:spacing w:val="17"/>
        </w:rPr>
        <w:t> </w:t>
      </w:r>
      <w:r>
        <w:rPr>
          <w:color w:val="231F20"/>
        </w:rPr>
        <w:t>ca.</w:t>
      </w:r>
      <w:r>
        <w:rPr>
          <w:color w:val="231F20"/>
          <w:spacing w:val="6"/>
        </w:rPr>
        <w:t> </w:t>
      </w:r>
      <w:r>
        <w:rPr>
          <w:color w:val="231F20"/>
        </w:rPr>
        <w:t>40%</w:t>
      </w:r>
      <w:r>
        <w:rPr>
          <w:color w:val="231F20"/>
          <w:spacing w:val="17"/>
        </w:rPr>
        <w:t> </w:t>
      </w:r>
      <w:r>
        <w:rPr>
          <w:color w:val="231F20"/>
        </w:rPr>
        <w:t>im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Vergleich</w:t>
      </w:r>
      <w:r>
        <w:rPr>
          <w:color w:val="231F20"/>
          <w:spacing w:val="17"/>
        </w:rPr>
        <w:t> </w:t>
      </w:r>
      <w:r>
        <w:rPr>
          <w:color w:val="231F20"/>
        </w:rPr>
        <w:t>zum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Süddach</w:t>
      </w:r>
      <w:r>
        <w:rPr>
          <w:color w:val="231F20"/>
          <w:spacing w:val="28"/>
        </w:rPr>
        <w:t> </w:t>
      </w:r>
      <w:r>
        <w:rPr>
          <w:color w:val="231F20"/>
        </w:rPr>
        <w:t>(vgl.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Schweizer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Solarpreis</w:t>
      </w:r>
      <w:r>
        <w:rPr>
          <w:color w:val="231F20"/>
          <w:spacing w:val="9"/>
        </w:rPr>
        <w:t> </w:t>
      </w:r>
      <w:r>
        <w:rPr>
          <w:color w:val="231F20"/>
        </w:rPr>
        <w:t>2015,</w:t>
      </w:r>
      <w:r>
        <w:rPr>
          <w:color w:val="231F20"/>
          <w:spacing w:val="-2"/>
        </w:rPr>
        <w:t> </w:t>
      </w:r>
      <w:r>
        <w:rPr>
          <w:color w:val="231F20"/>
        </w:rPr>
        <w:t>S.</w:t>
      </w:r>
      <w:r>
        <w:rPr>
          <w:color w:val="231F20"/>
          <w:spacing w:val="-2"/>
        </w:rPr>
        <w:t> </w:t>
      </w:r>
      <w:r>
        <w:rPr>
          <w:color w:val="231F20"/>
        </w:rPr>
        <w:t>52/53).</w:t>
      </w:r>
      <w:r>
        <w:rPr>
          <w:color w:val="231F20"/>
          <w:spacing w:val="30"/>
        </w:rPr>
        <w:t> </w:t>
      </w:r>
      <w:r>
        <w:rPr>
          <w:color w:val="231F20"/>
          <w:spacing w:val="1"/>
        </w:rPr>
        <w:t>Das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gesamte</w:t>
      </w:r>
      <w:r>
        <w:rPr>
          <w:color w:val="231F20"/>
          <w:spacing w:val="6"/>
        </w:rPr>
        <w:t> </w:t>
      </w:r>
      <w:r>
        <w:rPr>
          <w:color w:val="231F20"/>
        </w:rPr>
        <w:t>Solarpotential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beträgt</w:t>
      </w:r>
      <w:r>
        <w:rPr>
          <w:color w:val="231F20"/>
          <w:spacing w:val="6"/>
        </w:rPr>
        <w:t> </w:t>
      </w:r>
      <w:r>
        <w:rPr>
          <w:color w:val="231F20"/>
        </w:rPr>
        <w:t>rund</w:t>
      </w:r>
      <w:r>
        <w:rPr>
          <w:color w:val="231F20"/>
          <w:spacing w:val="20"/>
        </w:rPr>
        <w:t> </w:t>
      </w:r>
      <w:r>
        <w:rPr>
          <w:color w:val="231F20"/>
        </w:rPr>
        <w:t>19'200 </w:t>
      </w:r>
      <w:r>
        <w:rPr>
          <w:color w:val="231F20"/>
          <w:spacing w:val="-2"/>
        </w:rPr>
        <w:t>kWh/a.</w:t>
      </w:r>
      <w:r>
        <w:rPr/>
      </w:r>
    </w:p>
    <w:p>
      <w:pPr>
        <w:pStyle w:val="BodyText"/>
        <w:spacing w:line="230" w:lineRule="exact" w:before="0"/>
        <w:ind w:right="8" w:firstLine="226"/>
        <w:jc w:val="both"/>
      </w:pPr>
      <w:r>
        <w:rPr>
          <w:color w:val="231F20"/>
        </w:rPr>
        <w:t>Eine</w:t>
      </w:r>
      <w:r>
        <w:rPr>
          <w:color w:val="231F20"/>
          <w:spacing w:val="3"/>
        </w:rPr>
        <w:t> </w:t>
      </w:r>
      <w:r>
        <w:rPr>
          <w:color w:val="231F20"/>
        </w:rPr>
        <w:t>Besonderheit</w:t>
      </w:r>
      <w:r>
        <w:rPr>
          <w:color w:val="231F20"/>
          <w:spacing w:val="3"/>
        </w:rPr>
        <w:t> </w:t>
      </w:r>
      <w:r>
        <w:rPr>
          <w:color w:val="231F20"/>
        </w:rPr>
        <w:t>sind</w:t>
      </w:r>
      <w:r>
        <w:rPr>
          <w:color w:val="231F20"/>
          <w:spacing w:val="3"/>
        </w:rPr>
        <w:t> </w:t>
      </w:r>
      <w:r>
        <w:rPr>
          <w:color w:val="231F20"/>
        </w:rPr>
        <w:t>die</w:t>
      </w:r>
      <w:r>
        <w:rPr>
          <w:color w:val="231F20"/>
          <w:spacing w:val="3"/>
        </w:rPr>
        <w:t> </w:t>
      </w:r>
      <w:r>
        <w:rPr>
          <w:color w:val="231F20"/>
        </w:rPr>
        <w:t>Bauteile</w:t>
      </w:r>
      <w:r>
        <w:rPr>
          <w:color w:val="231F20"/>
          <w:spacing w:val="3"/>
        </w:rPr>
        <w:t> </w:t>
      </w:r>
      <w:r>
        <w:rPr>
          <w:color w:val="231F20"/>
        </w:rPr>
        <w:t>und</w:t>
      </w:r>
      <w:r>
        <w:rPr>
          <w:color w:val="231F20"/>
          <w:spacing w:val="28"/>
        </w:rPr>
        <w:t> </w:t>
      </w:r>
      <w:r>
        <w:rPr>
          <w:color w:val="231F20"/>
        </w:rPr>
        <w:t>die</w:t>
      </w:r>
      <w:r>
        <w:rPr>
          <w:color w:val="231F20"/>
          <w:spacing w:val="9"/>
        </w:rPr>
        <w:t> </w:t>
      </w:r>
      <w:r>
        <w:rPr>
          <w:color w:val="231F20"/>
        </w:rPr>
        <w:t>Haustechnik.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Diese</w:t>
      </w:r>
      <w:r>
        <w:rPr>
          <w:color w:val="231F20"/>
          <w:spacing w:val="9"/>
        </w:rPr>
        <w:t> </w:t>
      </w:r>
      <w:r>
        <w:rPr>
          <w:color w:val="231F20"/>
        </w:rPr>
        <w:t>sind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so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zusammen-</w:t>
      </w:r>
      <w:r>
        <w:rPr>
          <w:color w:val="231F20"/>
          <w:spacing w:val="29"/>
        </w:rPr>
        <w:t> </w:t>
      </w:r>
      <w:r>
        <w:rPr>
          <w:color w:val="231F20"/>
        </w:rPr>
        <w:t>geführt,</w:t>
      </w:r>
      <w:r>
        <w:rPr>
          <w:color w:val="231F20"/>
          <w:spacing w:val="3"/>
        </w:rPr>
        <w:t> </w:t>
      </w:r>
      <w:r>
        <w:rPr>
          <w:color w:val="231F20"/>
        </w:rPr>
        <w:t>dass</w:t>
      </w:r>
      <w:r>
        <w:rPr>
          <w:color w:val="231F20"/>
          <w:spacing w:val="14"/>
        </w:rPr>
        <w:t> </w:t>
      </w:r>
      <w:r>
        <w:rPr>
          <w:color w:val="231F20"/>
        </w:rPr>
        <w:t>sie</w:t>
      </w:r>
      <w:r>
        <w:rPr>
          <w:color w:val="231F20"/>
          <w:spacing w:val="14"/>
        </w:rPr>
        <w:t> </w:t>
      </w:r>
      <w:r>
        <w:rPr>
          <w:color w:val="231F20"/>
        </w:rPr>
        <w:t>sich</w:t>
      </w:r>
      <w:r>
        <w:rPr>
          <w:color w:val="231F20"/>
          <w:spacing w:val="14"/>
        </w:rPr>
        <w:t> </w:t>
      </w:r>
      <w:r>
        <w:rPr>
          <w:color w:val="231F20"/>
        </w:rPr>
        <w:t>auf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einfache</w:t>
      </w:r>
      <w:r>
        <w:rPr>
          <w:color w:val="231F20"/>
          <w:spacing w:val="14"/>
        </w:rPr>
        <w:t> </w:t>
      </w:r>
      <w:r>
        <w:rPr>
          <w:color w:val="231F20"/>
          <w:spacing w:val="1"/>
        </w:rPr>
        <w:t>Art</w:t>
      </w:r>
      <w:r>
        <w:rPr>
          <w:color w:val="231F20"/>
          <w:spacing w:val="14"/>
        </w:rPr>
        <w:t> </w:t>
      </w:r>
      <w:r>
        <w:rPr>
          <w:color w:val="231F20"/>
        </w:rPr>
        <w:t>und</w:t>
      </w:r>
      <w:r>
        <w:rPr>
          <w:color w:val="231F20"/>
          <w:spacing w:val="32"/>
        </w:rPr>
        <w:t> </w:t>
      </w:r>
      <w:r>
        <w:rPr>
          <w:color w:val="231F20"/>
          <w:spacing w:val="-3"/>
        </w:rPr>
        <w:t>Weise</w:t>
      </w:r>
      <w:r>
        <w:rPr>
          <w:color w:val="231F20"/>
          <w:spacing w:val="21"/>
        </w:rPr>
        <w:t> </w:t>
      </w:r>
      <w:r>
        <w:rPr>
          <w:color w:val="231F20"/>
        </w:rPr>
        <w:t>umbauen</w:t>
      </w:r>
      <w:r>
        <w:rPr>
          <w:color w:val="231F20"/>
          <w:spacing w:val="21"/>
        </w:rPr>
        <w:t> </w:t>
      </w:r>
      <w:r>
        <w:rPr>
          <w:color w:val="231F20"/>
        </w:rPr>
        <w:t>und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sanieren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lassen.</w:t>
      </w:r>
      <w:r>
        <w:rPr>
          <w:color w:val="231F20"/>
          <w:spacing w:val="10"/>
        </w:rPr>
        <w:t> </w:t>
      </w:r>
      <w:r>
        <w:rPr>
          <w:color w:val="231F20"/>
        </w:rPr>
        <w:t>Eine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Transformation</w:t>
      </w:r>
      <w:r>
        <w:rPr>
          <w:color w:val="231F20"/>
          <w:spacing w:val="2"/>
        </w:rPr>
        <w:t> </w:t>
      </w:r>
      <w:r>
        <w:rPr>
          <w:color w:val="231F20"/>
        </w:rPr>
        <w:t>vom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EFH</w:t>
      </w:r>
      <w:r>
        <w:rPr>
          <w:color w:val="231F20"/>
          <w:spacing w:val="2"/>
        </w:rPr>
        <w:t> </w:t>
      </w:r>
      <w:r>
        <w:rPr>
          <w:color w:val="231F20"/>
        </w:rPr>
        <w:t>zum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Zweifamilien-</w:t>
      </w:r>
      <w:r>
        <w:rPr>
          <w:color w:val="231F20"/>
          <w:spacing w:val="51"/>
        </w:rPr>
        <w:t> </w:t>
      </w:r>
      <w:r>
        <w:rPr>
          <w:color w:val="231F20"/>
        </w:rPr>
        <w:t>haus</w:t>
      </w:r>
      <w:r>
        <w:rPr>
          <w:color w:val="231F20"/>
          <w:spacing w:val="-6"/>
        </w:rPr>
        <w:t> </w:t>
      </w:r>
      <w:r>
        <w:rPr>
          <w:color w:val="231F20"/>
        </w:rPr>
        <w:t>ist</w:t>
      </w:r>
      <w:r>
        <w:rPr>
          <w:color w:val="231F20"/>
          <w:spacing w:val="-6"/>
        </w:rPr>
        <w:t> </w:t>
      </w:r>
      <w:r>
        <w:rPr>
          <w:color w:val="231F20"/>
        </w:rPr>
        <w:t>jederzeit</w:t>
      </w:r>
      <w:r>
        <w:rPr>
          <w:color w:val="231F20"/>
          <w:spacing w:val="-6"/>
        </w:rPr>
        <w:t> </w:t>
      </w:r>
      <w:r>
        <w:rPr>
          <w:color w:val="231F20"/>
        </w:rPr>
        <w:t>möglich.</w:t>
      </w:r>
      <w:r>
        <w:rPr>
          <w:color w:val="231F20"/>
          <w:spacing w:val="-16"/>
        </w:rPr>
        <w:t> </w:t>
      </w:r>
      <w:r>
        <w:rPr>
          <w:color w:val="231F20"/>
          <w:spacing w:val="1"/>
        </w:rPr>
        <w:t>Das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PlusEnergie-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EFH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Oettli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verdient</w:t>
      </w:r>
      <w:r>
        <w:rPr>
          <w:color w:val="231F20"/>
          <w:spacing w:val="9"/>
        </w:rPr>
        <w:t> </w:t>
      </w:r>
      <w:r>
        <w:rPr>
          <w:color w:val="231F20"/>
        </w:rPr>
        <w:t>das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Schweizer</w:t>
      </w:r>
      <w:r>
        <w:rPr>
          <w:color w:val="231F20"/>
          <w:spacing w:val="9"/>
        </w:rPr>
        <w:t> </w:t>
      </w:r>
      <w:r>
        <w:rPr>
          <w:color w:val="231F20"/>
        </w:rPr>
        <w:t>Plus-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EnergieBau-Diplom</w:t>
      </w:r>
      <w:r>
        <w:rPr>
          <w:color w:val="231F20"/>
        </w:rPr>
        <w:t> 2019.</w:t>
      </w:r>
      <w:r>
        <w:rPr/>
      </w:r>
    </w:p>
    <w:p>
      <w:pPr>
        <w:spacing w:before="67"/>
        <w:ind w:left="106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/>
        <w:br w:type="column"/>
      </w:r>
      <w:r>
        <w:rPr>
          <w:rFonts w:ascii="Theinhardt Black"/>
          <w:b/>
          <w:color w:val="231F20"/>
          <w:sz w:val="14"/>
        </w:rPr>
        <w:t>Technische Daten</w:t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06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spacing w:line="172" w:lineRule="exact" w:before="2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Wärmedämmung</w:t>
      </w:r>
      <w:r>
        <w:rPr>
          <w:rFonts w:ascii="Theinhardt Bold" w:hAnsi="Theinhardt Bold"/>
          <w:sz w:val="14"/>
        </w:rPr>
      </w:r>
    </w:p>
    <w:p>
      <w:pPr>
        <w:tabs>
          <w:tab w:pos="937" w:val="left" w:leader="none"/>
          <w:tab w:pos="1568" w:val="left" w:leader="none"/>
          <w:tab w:pos="2480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sz w:val="14"/>
        </w:rPr>
        <w:t>Wand:</w:t>
        <w:tab/>
      </w:r>
      <w:r>
        <w:rPr>
          <w:rFonts w:ascii="Theinhardt Regular"/>
          <w:spacing w:val="1"/>
          <w:sz w:val="14"/>
        </w:rPr>
        <w:t>44</w:t>
      </w:r>
      <w:r>
        <w:rPr>
          <w:rFonts w:ascii="Theinhardt Regular"/>
          <w:sz w:val="14"/>
        </w:rPr>
        <w:t> cm</w:t>
        <w:tab/>
        <w:t>U-Wert:</w:t>
        <w:tab/>
      </w:r>
      <w:r>
        <w:rPr>
          <w:rFonts w:ascii="Theinhardt Regular"/>
          <w:spacing w:val="-6"/>
          <w:sz w:val="14"/>
        </w:rPr>
        <w:t>0.10</w:t>
      </w:r>
      <w:r>
        <w:rPr>
          <w:rFonts w:ascii="Theinhardt Regular"/>
          <w:spacing w:val="-11"/>
          <w:sz w:val="14"/>
        </w:rPr>
        <w:t> </w:t>
      </w:r>
      <w:r>
        <w:rPr>
          <w:rFonts w:ascii="Theinhardt Regular"/>
          <w:sz w:val="14"/>
        </w:rPr>
        <w:t>W/m</w:t>
      </w:r>
      <w:r>
        <w:rPr>
          <w:rFonts w:ascii="Theinhardt Regular"/>
          <w:position w:val="5"/>
          <w:sz w:val="8"/>
        </w:rPr>
        <w:t>2</w:t>
      </w:r>
      <w:r>
        <w:rPr>
          <w:rFonts w:ascii="Theinhardt Regular"/>
          <w:sz w:val="14"/>
        </w:rPr>
        <w:t>K</w:t>
      </w:r>
      <w:r>
        <w:rPr>
          <w:rFonts w:ascii="Theinhardt Regular"/>
          <w:sz w:val="14"/>
        </w:rPr>
      </w:r>
    </w:p>
    <w:p>
      <w:pPr>
        <w:tabs>
          <w:tab w:pos="938" w:val="left" w:leader="none"/>
          <w:tab w:pos="1568" w:val="left" w:leader="none"/>
          <w:tab w:pos="2446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sz w:val="14"/>
        </w:rPr>
        <w:t>Dach:</w:t>
        <w:tab/>
        <w:t>49 cm</w:t>
        <w:tab/>
        <w:t>U-Wert:</w:t>
        <w:tab/>
        <w:t>0.08 </w:t>
      </w:r>
      <w:r>
        <w:rPr>
          <w:rFonts w:ascii="Theinhardt Regular"/>
          <w:spacing w:val="-1"/>
          <w:sz w:val="14"/>
        </w:rPr>
        <w:t>W/m</w:t>
      </w:r>
      <w:r>
        <w:rPr>
          <w:rFonts w:ascii="Theinhardt Regular"/>
          <w:spacing w:val="-1"/>
          <w:position w:val="5"/>
          <w:sz w:val="8"/>
        </w:rPr>
        <w:t>2</w:t>
      </w:r>
      <w:r>
        <w:rPr>
          <w:rFonts w:ascii="Theinhardt Regular"/>
          <w:spacing w:val="-1"/>
          <w:sz w:val="14"/>
        </w:rPr>
        <w:t>K</w:t>
      </w:r>
    </w:p>
    <w:p>
      <w:pPr>
        <w:tabs>
          <w:tab w:pos="838" w:val="left" w:leader="none"/>
          <w:tab w:pos="1568" w:val="left" w:leader="none"/>
          <w:tab w:pos="2454" w:val="left" w:leader="none"/>
        </w:tabs>
        <w:spacing w:line="207" w:lineRule="auto" w:before="5"/>
        <w:ind w:left="106" w:right="373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sz w:val="14"/>
        </w:rPr>
        <w:t>Boden:</w:t>
        <w:tab/>
        <w:t>65 </w:t>
      </w:r>
      <w:r>
        <w:rPr>
          <w:rFonts w:ascii="Theinhardt Regular"/>
          <w:w w:val="95"/>
          <w:sz w:val="14"/>
        </w:rPr>
        <w:t>cm</w:t>
        <w:tab/>
      </w:r>
      <w:r>
        <w:rPr>
          <w:rFonts w:ascii="Theinhardt Regular"/>
          <w:sz w:val="14"/>
        </w:rPr>
        <w:t>U-Wert:</w:t>
        <w:tab/>
      </w:r>
      <w:r>
        <w:rPr>
          <w:rFonts w:ascii="Theinhardt Regular"/>
          <w:spacing w:val="-2"/>
          <w:sz w:val="14"/>
        </w:rPr>
        <w:t>0.10</w:t>
      </w:r>
      <w:r>
        <w:rPr>
          <w:rFonts w:ascii="Theinhardt Regular"/>
          <w:sz w:val="14"/>
        </w:rPr>
        <w:t> W/m</w:t>
      </w:r>
      <w:r>
        <w:rPr>
          <w:rFonts w:ascii="Theinhardt Regular"/>
          <w:position w:val="5"/>
          <w:sz w:val="8"/>
        </w:rPr>
        <w:t>2</w:t>
      </w:r>
      <w:r>
        <w:rPr>
          <w:rFonts w:ascii="Theinhardt Regular"/>
          <w:sz w:val="14"/>
        </w:rPr>
        <w:t>K</w:t>
      </w:r>
      <w:r>
        <w:rPr>
          <w:rFonts w:ascii="Theinhardt Regular"/>
          <w:spacing w:val="23"/>
          <w:sz w:val="14"/>
        </w:rPr>
        <w:t> </w:t>
      </w:r>
      <w:r>
        <w:rPr>
          <w:rFonts w:ascii="Theinhardt Regular"/>
          <w:sz w:val="14"/>
        </w:rPr>
        <w:t>Fenster:</w:t>
        <w:tab/>
        <w:t>dreifach</w:t>
        <w:tab/>
        <w:t>U-Wert:</w:t>
        <w:tab/>
      </w:r>
      <w:r>
        <w:rPr>
          <w:rFonts w:ascii="Theinhardt Regular"/>
          <w:spacing w:val="-3"/>
          <w:sz w:val="14"/>
        </w:rPr>
        <w:t>0.70</w:t>
      </w:r>
      <w:r>
        <w:rPr>
          <w:rFonts w:ascii="Theinhardt Regular"/>
          <w:sz w:val="14"/>
        </w:rPr>
        <w:t> W/m</w:t>
      </w:r>
      <w:r>
        <w:rPr>
          <w:rFonts w:ascii="Theinhardt Regular"/>
          <w:position w:val="5"/>
          <w:sz w:val="8"/>
        </w:rPr>
        <w:t>2</w:t>
      </w:r>
      <w:r>
        <w:rPr>
          <w:rFonts w:ascii="Theinhardt Regular"/>
          <w:sz w:val="14"/>
        </w:rPr>
        <w:t>K</w:t>
      </w:r>
    </w:p>
    <w:p>
      <w:pPr>
        <w:spacing w:line="172" w:lineRule="exact" w:before="38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Energiebedarf</w:t>
      </w:r>
      <w:r>
        <w:rPr>
          <w:rFonts w:ascii="Theinhardt Bold"/>
          <w:sz w:val="14"/>
        </w:rPr>
      </w:r>
    </w:p>
    <w:p>
      <w:pPr>
        <w:tabs>
          <w:tab w:pos="1467" w:val="left" w:leader="none"/>
          <w:tab w:pos="1835" w:val="left" w:leader="none"/>
          <w:tab w:pos="2359" w:val="left" w:leader="none"/>
          <w:tab w:pos="2809" w:val="left" w:leader="none"/>
          <w:tab w:pos="3206" w:val="right" w:leader="none"/>
        </w:tabs>
        <w:spacing w:line="207" w:lineRule="auto" w:before="5"/>
        <w:ind w:left="106" w:right="373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EBF: </w:t>
      </w:r>
      <w:r>
        <w:rPr>
          <w:rFonts w:ascii="Theinhardt Regular"/>
          <w:color w:val="231F20"/>
          <w:spacing w:val="1"/>
          <w:sz w:val="14"/>
        </w:rPr>
        <w:t>2</w:t>
      </w:r>
      <w:r>
        <w:rPr>
          <w:rFonts w:ascii="Theinhardt Regular"/>
          <w:color w:val="231F20"/>
          <w:spacing w:val="2"/>
          <w:sz w:val="14"/>
        </w:rPr>
        <w:t>0</w:t>
      </w:r>
      <w:r>
        <w:rPr>
          <w:rFonts w:ascii="Theinhardt Regular"/>
          <w:color w:val="231F20"/>
          <w:sz w:val="14"/>
        </w:rPr>
        <w:t>3 m</w:t>
      </w:r>
      <w:r>
        <w:rPr>
          <w:rFonts w:ascii="Theinhardt Regular"/>
          <w:color w:val="231F20"/>
          <w:position w:val="5"/>
          <w:sz w:val="8"/>
        </w:rPr>
        <w:t>2</w:t>
        <w:tab/>
      </w:r>
      <w:r>
        <w:rPr>
          <w:rFonts w:ascii="Theinhardt Regular"/>
          <w:color w:val="231F20"/>
          <w:sz w:val="14"/>
        </w:rPr>
        <w:t>kWh/m</w:t>
      </w:r>
      <w:r>
        <w:rPr>
          <w:rFonts w:ascii="Theinhardt Regular"/>
          <w:color w:val="231F20"/>
          <w:position w:val="5"/>
          <w:sz w:val="8"/>
        </w:rPr>
        <w:t>2</w:t>
      </w:r>
      <w:r>
        <w:rPr>
          <w:rFonts w:ascii="Theinhardt Regular"/>
          <w:color w:val="231F20"/>
          <w:sz w:val="14"/>
        </w:rPr>
        <w:t>a</w:t>
        <w:tab/>
        <w:t>%</w:t>
        <w:tab/>
        <w:t>kWh/a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w w:val="95"/>
          <w:sz w:val="14"/>
        </w:rPr>
        <w:t>Heizung:</w:t>
        <w:tab/>
        <w:tab/>
      </w:r>
      <w:r>
        <w:rPr>
          <w:rFonts w:ascii="Theinhardt Regular"/>
          <w:color w:val="231F20"/>
          <w:spacing w:val="-4"/>
          <w:sz w:val="14"/>
        </w:rPr>
        <w:t>4.1</w:t>
        <w:tab/>
      </w:r>
      <w:r>
        <w:rPr>
          <w:rFonts w:ascii="Theinhardt Regular"/>
          <w:color w:val="231F20"/>
          <w:sz w:val="14"/>
        </w:rPr>
        <w:t>20</w:t>
        <w:tab/>
      </w:r>
      <w:r>
        <w:rPr>
          <w:rFonts w:ascii="Theinhardt Regular"/>
          <w:color w:val="231F20"/>
          <w:spacing w:val="-1"/>
          <w:sz w:val="14"/>
        </w:rPr>
        <w:t>826</w:t>
      </w:r>
      <w:r>
        <w:rPr>
          <w:rFonts w:ascii="Theinhardt Regular"/>
          <w:sz w:val="14"/>
        </w:rPr>
      </w:r>
    </w:p>
    <w:p>
      <w:pPr>
        <w:tabs>
          <w:tab w:pos="1822" w:val="left" w:leader="none"/>
          <w:tab w:pos="2361" w:val="left" w:leader="none"/>
          <w:tab w:pos="3206" w:val="right" w:leader="none"/>
        </w:tabs>
        <w:spacing w:line="154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Warmwasser:</w:t>
        <w:tab/>
      </w:r>
      <w:r>
        <w:rPr>
          <w:rFonts w:ascii="Theinhardt Regular"/>
          <w:color w:val="231F20"/>
          <w:w w:val="95"/>
          <w:sz w:val="14"/>
        </w:rPr>
        <w:t>4.8</w:t>
        <w:tab/>
      </w:r>
      <w:r>
        <w:rPr>
          <w:rFonts w:ascii="Theinhardt Regular"/>
          <w:color w:val="231F20"/>
          <w:spacing w:val="-1"/>
          <w:sz w:val="14"/>
        </w:rPr>
        <w:t>23</w:t>
        <w:tab/>
        <w:t>979</w:t>
      </w:r>
      <w:r>
        <w:rPr>
          <w:rFonts w:ascii="Theinhardt Regular"/>
          <w:sz w:val="14"/>
        </w:rPr>
      </w:r>
    </w:p>
    <w:p>
      <w:pPr>
        <w:tabs>
          <w:tab w:pos="1821" w:val="left" w:leader="none"/>
          <w:tab w:pos="2443" w:val="left" w:leader="none"/>
          <w:tab w:pos="3206" w:val="righ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Holz:</w:t>
        <w:tab/>
      </w:r>
      <w:r>
        <w:rPr>
          <w:rFonts w:ascii="Theinhardt Regular"/>
          <w:color w:val="231F20"/>
          <w:w w:val="95"/>
          <w:sz w:val="14"/>
        </w:rPr>
        <w:t>0.8</w:t>
        <w:tab/>
      </w:r>
      <w:r>
        <w:rPr>
          <w:rFonts w:ascii="Theinhardt Regular"/>
          <w:color w:val="231F20"/>
          <w:sz w:val="14"/>
        </w:rPr>
        <w:t>4</w:t>
        <w:tab/>
      </w:r>
      <w:r>
        <w:rPr>
          <w:rFonts w:ascii="Theinhardt Regular"/>
          <w:color w:val="231F20"/>
          <w:spacing w:val="-4"/>
          <w:sz w:val="14"/>
        </w:rPr>
        <w:t>161</w:t>
      </w:r>
      <w:r>
        <w:rPr>
          <w:rFonts w:ascii="Theinhardt Regular"/>
          <w:sz w:val="14"/>
        </w:rPr>
      </w:r>
    </w:p>
    <w:p>
      <w:pPr>
        <w:tabs>
          <w:tab w:pos="1771" w:val="left" w:leader="none"/>
          <w:tab w:pos="2359" w:val="left" w:leader="none"/>
          <w:tab w:pos="2837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Elektrizität</w:t>
        <w:tab/>
      </w:r>
      <w:r>
        <w:rPr>
          <w:rFonts w:ascii="Theinhardt Regular" w:hAnsi="Theinhardt Regular" w:cs="Theinhardt Regular" w:eastAsia="Theinhardt Regular"/>
          <w:color w:val="231F20"/>
          <w:spacing w:val="-8"/>
          <w:w w:val="95"/>
          <w:sz w:val="14"/>
          <w:szCs w:val="14"/>
        </w:rPr>
        <w:t>11.1</w:t>
        <w:tab/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53</w:t>
        <w:tab/>
        <w:t>2’245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1740" w:val="left" w:leader="none"/>
          <w:tab w:pos="2278" w:val="left" w:leader="none"/>
          <w:tab w:pos="2842" w:val="left" w:leader="none"/>
        </w:tabs>
        <w:spacing w:line="172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GesamtEB: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4"/>
          <w:szCs w:val="14"/>
        </w:rPr>
        <w:t>21.0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ab/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100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4"/>
          <w:szCs w:val="14"/>
        </w:rPr>
        <w:t>4’211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240" w:lineRule="auto" w:before="10"/>
        <w:rPr>
          <w:rFonts w:ascii="Theinhardt Bold" w:hAnsi="Theinhardt Bold" w:cs="Theinhardt Bold" w:eastAsia="Theinhardt Bold"/>
          <w:b/>
          <w:bCs/>
          <w:sz w:val="4"/>
          <w:szCs w:val="4"/>
        </w:rPr>
      </w:pPr>
    </w:p>
    <w:tbl>
      <w:tblPr>
        <w:tblW w:w="0" w:type="auto"/>
        <w:jc w:val="left"/>
        <w:tblInd w:w="5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9"/>
        <w:gridCol w:w="500"/>
        <w:gridCol w:w="610"/>
      </w:tblGrid>
      <w:tr>
        <w:trPr>
          <w:trHeight w:val="413" w:hRule="exact"/>
        </w:trPr>
        <w:tc>
          <w:tcPr>
            <w:tcW w:w="20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85" w:lineRule="exact"/>
              <w:ind w:left="54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z w:val="14"/>
              </w:rPr>
              <w:t>Energieversorgung</w:t>
            </w:r>
            <w:r>
              <w:rPr>
                <w:rFonts w:ascii="Theinhardt Bold"/>
                <w:sz w:val="14"/>
              </w:rPr>
            </w:r>
          </w:p>
          <w:p>
            <w:pPr>
              <w:pStyle w:val="TableParagraph"/>
              <w:tabs>
                <w:tab w:pos="1623" w:val="left" w:leader="none"/>
              </w:tabs>
              <w:spacing w:line="207" w:lineRule="auto" w:before="5"/>
              <w:ind w:left="55" w:right="122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Eigen-EV:  </w:t>
            </w:r>
            <w:r>
              <w:rPr>
                <w:rFonts w:ascii="Theinhardt Regular"/>
                <w:color w:val="231F20"/>
                <w:spacing w:val="34"/>
                <w:sz w:val="14"/>
              </w:rPr>
              <w:t> </w:t>
            </w:r>
            <w:r>
              <w:rPr>
                <w:rFonts w:ascii="Theinhardt Regular"/>
                <w:color w:val="231F20"/>
                <w:spacing w:val="-1"/>
                <w:sz w:val="14"/>
              </w:rPr>
              <w:t>m</w:t>
            </w:r>
            <w:r>
              <w:rPr>
                <w:rFonts w:ascii="Theinhardt Regular"/>
                <w:color w:val="231F20"/>
                <w:spacing w:val="-1"/>
                <w:position w:val="5"/>
                <w:sz w:val="8"/>
              </w:rPr>
              <w:t>2</w:t>
            </w:r>
            <w:r>
              <w:rPr>
                <w:rFonts w:ascii="Theinhardt Regular"/>
                <w:color w:val="231F20"/>
                <w:position w:val="5"/>
                <w:sz w:val="8"/>
              </w:rPr>
              <w:t> </w:t>
            </w:r>
            <w:r>
              <w:rPr>
                <w:rFonts w:ascii="Theinhardt Regular"/>
                <w:color w:val="231F20"/>
                <w:spacing w:val="11"/>
                <w:position w:val="5"/>
                <w:sz w:val="8"/>
              </w:rPr>
              <w:t> </w:t>
            </w:r>
            <w:r>
              <w:rPr>
                <w:rFonts w:ascii="Theinhardt Regular"/>
                <w:color w:val="231F20"/>
                <w:sz w:val="14"/>
              </w:rPr>
              <w:t>kWp  </w:t>
            </w:r>
            <w:r>
              <w:rPr>
                <w:rFonts w:ascii="Theinhardt Regular"/>
                <w:color w:val="231F20"/>
                <w:spacing w:val="29"/>
                <w:sz w:val="14"/>
              </w:rPr>
              <w:t> </w:t>
            </w:r>
            <w:r>
              <w:rPr>
                <w:rFonts w:ascii="Theinhardt Regular"/>
                <w:color w:val="231F20"/>
                <w:spacing w:val="-1"/>
                <w:sz w:val="14"/>
              </w:rPr>
              <w:t>kWh/m</w:t>
            </w:r>
            <w:r>
              <w:rPr>
                <w:rFonts w:ascii="Theinhardt Regular"/>
                <w:color w:val="231F20"/>
                <w:spacing w:val="-1"/>
                <w:position w:val="5"/>
                <w:sz w:val="8"/>
              </w:rPr>
              <w:t>2</w:t>
            </w:r>
            <w:r>
              <w:rPr>
                <w:rFonts w:ascii="Theinhardt Regular"/>
                <w:color w:val="231F20"/>
                <w:spacing w:val="-1"/>
                <w:sz w:val="14"/>
              </w:rPr>
              <w:t>a</w:t>
            </w:r>
            <w:r>
              <w:rPr>
                <w:rFonts w:ascii="Theinhardt Regular"/>
                <w:color w:val="231F20"/>
                <w:spacing w:val="27"/>
                <w:sz w:val="14"/>
              </w:rPr>
              <w:t> </w:t>
            </w:r>
            <w:r>
              <w:rPr>
                <w:rFonts w:ascii="Theinhardt Regular"/>
                <w:color w:val="231F20"/>
                <w:spacing w:val="1"/>
                <w:sz w:val="14"/>
              </w:rPr>
              <w:t>PV-Dach:</w:t>
            </w:r>
            <w:r>
              <w:rPr>
                <w:rFonts w:ascii="Theinhardt Regular"/>
                <w:color w:val="231F20"/>
                <w:spacing w:val="18"/>
                <w:sz w:val="14"/>
              </w:rPr>
              <w:t> </w:t>
            </w:r>
            <w:r>
              <w:rPr>
                <w:rFonts w:ascii="Theinhardt Regular"/>
                <w:color w:val="231F20"/>
                <w:spacing w:val="-3"/>
                <w:sz w:val="14"/>
              </w:rPr>
              <w:t>71.5</w:t>
            </w:r>
            <w:r>
              <w:rPr>
                <w:rFonts w:ascii="Theinhardt Regular"/>
                <w:color w:val="231F20"/>
                <w:spacing w:val="17"/>
                <w:sz w:val="14"/>
              </w:rPr>
              <w:t> </w:t>
            </w:r>
            <w:r>
              <w:rPr>
                <w:rFonts w:ascii="Theinhardt Regular"/>
                <w:color w:val="231F20"/>
                <w:spacing w:val="-6"/>
                <w:sz w:val="14"/>
              </w:rPr>
              <w:t>11.6</w:t>
              <w:tab/>
            </w:r>
            <w:r>
              <w:rPr>
                <w:rFonts w:ascii="Theinhardt Regular"/>
                <w:color w:val="231F20"/>
                <w:spacing w:val="-4"/>
                <w:sz w:val="14"/>
              </w:rPr>
              <w:t>161.0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5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2" w:lineRule="exact" w:before="72"/>
              <w:ind w:left="122" w:right="0"/>
              <w:jc w:val="center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%</w:t>
            </w:r>
            <w:r>
              <w:rPr>
                <w:rFonts w:ascii="Theinhardt Regular"/>
                <w:sz w:val="14"/>
              </w:rPr>
            </w:r>
          </w:p>
          <w:p>
            <w:pPr>
              <w:pStyle w:val="TableParagraph"/>
              <w:spacing w:line="168" w:lineRule="exact"/>
              <w:ind w:right="0"/>
              <w:jc w:val="center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z w:val="14"/>
              </w:rPr>
              <w:t>273</w:t>
            </w:r>
            <w:r>
              <w:rPr>
                <w:rFonts w:ascii="Theinhardt Bold"/>
                <w:sz w:val="14"/>
              </w:rPr>
            </w:r>
          </w:p>
        </w:tc>
        <w:tc>
          <w:tcPr>
            <w:tcW w:w="6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2" w:lineRule="exact" w:before="72"/>
              <w:ind w:left="158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kWh/a</w:t>
            </w:r>
            <w:r>
              <w:rPr>
                <w:rFonts w:ascii="Theinhardt Regular"/>
                <w:sz w:val="14"/>
              </w:rPr>
            </w:r>
          </w:p>
          <w:p>
            <w:pPr>
              <w:pStyle w:val="TableParagraph"/>
              <w:spacing w:line="168" w:lineRule="exact"/>
              <w:ind w:left="124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 w:hAnsi="Theinhardt Bold" w:cs="Theinhardt Bold" w:eastAsia="Theinhardt Bold"/>
                <w:b/>
                <w:bCs/>
                <w:color w:val="231F20"/>
                <w:spacing w:val="-6"/>
                <w:sz w:val="14"/>
                <w:szCs w:val="14"/>
              </w:rPr>
              <w:t>11’511</w:t>
            </w:r>
            <w:r>
              <w:rPr>
                <w:rFonts w:ascii="Theinhardt Bold" w:hAnsi="Theinhardt Bold" w:cs="Theinhardt Bold" w:eastAsia="Theinhardt Bold"/>
                <w:sz w:val="14"/>
                <w:szCs w:val="14"/>
              </w:rPr>
            </w:r>
          </w:p>
        </w:tc>
      </w:tr>
      <w:tr>
        <w:trPr>
          <w:trHeight w:val="187" w:hRule="exact"/>
        </w:trPr>
        <w:tc>
          <w:tcPr>
            <w:tcW w:w="20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974" w:val="right" w:leader="none"/>
              </w:tabs>
              <w:spacing w:line="165" w:lineRule="exact"/>
              <w:ind w:left="55" w:right="0"/>
              <w:jc w:val="left"/>
              <w:rPr>
                <w:rFonts w:ascii="Theinhardt Light Italic" w:hAnsi="Theinhardt Light Italic" w:cs="Theinhardt Light Italic" w:eastAsia="Theinhardt Light Italic"/>
                <w:sz w:val="14"/>
                <w:szCs w:val="14"/>
              </w:rPr>
            </w:pPr>
            <w:r>
              <w:rPr>
                <w:rFonts w:ascii="Theinhardt Light Italic"/>
                <w:i/>
                <w:color w:val="231F20"/>
                <w:spacing w:val="1"/>
                <w:sz w:val="14"/>
              </w:rPr>
              <w:t>Dach-Pot.:</w:t>
            </w:r>
            <w:r>
              <w:rPr>
                <w:rFonts w:ascii="Theinhardt Light Italic"/>
                <w:i/>
                <w:color w:val="231F20"/>
                <w:spacing w:val="-17"/>
                <w:sz w:val="14"/>
              </w:rPr>
              <w:t> </w:t>
            </w:r>
            <w:r>
              <w:rPr>
                <w:rFonts w:ascii="Theinhardt Light Italic"/>
                <w:i/>
                <w:color w:val="231F20"/>
                <w:spacing w:val="-3"/>
                <w:sz w:val="14"/>
              </w:rPr>
              <w:t>143</w:t>
            </w:r>
            <w:r>
              <w:rPr>
                <w:rFonts w:ascii="Theinhardt Light Italic"/>
                <w:i/>
                <w:color w:val="231F20"/>
                <w:spacing w:val="3"/>
                <w:sz w:val="14"/>
              </w:rPr>
              <w:t> </w:t>
            </w:r>
            <w:r>
              <w:rPr>
                <w:rFonts w:ascii="Theinhardt Light Italic"/>
                <w:i/>
                <w:color w:val="231F20"/>
                <w:spacing w:val="-1"/>
                <w:sz w:val="14"/>
              </w:rPr>
              <w:t>23.4</w:t>
              <w:tab/>
            </w:r>
            <w:r>
              <w:rPr>
                <w:rFonts w:ascii="Theinhardt Light Italic"/>
                <w:i/>
                <w:color w:val="231F20"/>
                <w:spacing w:val="-2"/>
                <w:sz w:val="14"/>
              </w:rPr>
              <w:t>134.2</w:t>
            </w:r>
            <w:r>
              <w:rPr>
                <w:rFonts w:ascii="Theinhardt Light Italic"/>
                <w:sz w:val="14"/>
              </w:rPr>
            </w:r>
          </w:p>
        </w:tc>
        <w:tc>
          <w:tcPr>
            <w:tcW w:w="5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128" w:right="0"/>
              <w:jc w:val="left"/>
              <w:rPr>
                <w:rFonts w:ascii="Theinhardt Light Italic" w:hAnsi="Theinhardt Light Italic" w:cs="Theinhardt Light Italic" w:eastAsia="Theinhardt Light Italic"/>
                <w:sz w:val="14"/>
                <w:szCs w:val="14"/>
              </w:rPr>
            </w:pPr>
            <w:r>
              <w:rPr>
                <w:rFonts w:ascii="Theinhardt Light Italic"/>
                <w:i/>
                <w:color w:val="231F20"/>
                <w:spacing w:val="-1"/>
                <w:sz w:val="14"/>
              </w:rPr>
              <w:t>456</w:t>
            </w:r>
            <w:r>
              <w:rPr>
                <w:rFonts w:ascii="Theinhardt Light Italic"/>
                <w:sz w:val="14"/>
              </w:rPr>
            </w:r>
          </w:p>
        </w:tc>
        <w:tc>
          <w:tcPr>
            <w:tcW w:w="6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125" w:right="0"/>
              <w:jc w:val="left"/>
              <w:rPr>
                <w:rFonts w:ascii="Theinhardt Light Italic" w:hAnsi="Theinhardt Light Italic" w:cs="Theinhardt Light Italic" w:eastAsia="Theinhardt Light Italic"/>
                <w:sz w:val="14"/>
                <w:szCs w:val="14"/>
              </w:rPr>
            </w:pPr>
            <w:r>
              <w:rPr>
                <w:rFonts w:ascii="Theinhardt Light Italic" w:hAnsi="Theinhardt Light Italic" w:cs="Theinhardt Light Italic" w:eastAsia="Theinhardt Light Italic"/>
                <w:i/>
                <w:color w:val="231F20"/>
                <w:spacing w:val="-4"/>
                <w:sz w:val="14"/>
                <w:szCs w:val="14"/>
              </w:rPr>
              <w:t>19’185</w:t>
            </w:r>
            <w:r>
              <w:rPr>
                <w:rFonts w:ascii="Theinhardt Light Italic" w:hAnsi="Theinhardt Light Italic" w:cs="Theinhardt Light Italic" w:eastAsia="Theinhardt Light Italic"/>
                <w:sz w:val="14"/>
                <w:szCs w:val="14"/>
              </w:rPr>
            </w:r>
          </w:p>
        </w:tc>
      </w:tr>
      <w:tr>
        <w:trPr>
          <w:trHeight w:val="350" w:hRule="exact"/>
        </w:trPr>
        <w:tc>
          <w:tcPr>
            <w:tcW w:w="20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2" w:lineRule="exact" w:before="9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z w:val="14"/>
              </w:rPr>
              <w:t>Energiebilanz </w:t>
            </w:r>
            <w:r>
              <w:rPr>
                <w:rFonts w:ascii="Theinhardt Regular"/>
                <w:color w:val="231F20"/>
                <w:sz w:val="14"/>
              </w:rPr>
              <w:t>(Endenergie)</w:t>
            </w:r>
            <w:r>
              <w:rPr>
                <w:rFonts w:ascii="Theinhardt Regular"/>
                <w:sz w:val="14"/>
              </w:rPr>
            </w:r>
          </w:p>
          <w:p>
            <w:pPr>
              <w:pStyle w:val="TableParagraph"/>
              <w:spacing w:line="169" w:lineRule="exact"/>
              <w:ind w:left="55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z w:val="14"/>
              </w:rPr>
              <w:t>Eigenenergieversorgung:</w:t>
            </w:r>
            <w:r>
              <w:rPr>
                <w:rFonts w:ascii="Theinhardt Bold"/>
                <w:sz w:val="14"/>
              </w:rPr>
            </w:r>
          </w:p>
        </w:tc>
        <w:tc>
          <w:tcPr>
            <w:tcW w:w="5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2" w:lineRule="exact" w:before="9"/>
              <w:ind w:left="122" w:right="0"/>
              <w:jc w:val="center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%</w:t>
            </w:r>
            <w:r>
              <w:rPr>
                <w:rFonts w:ascii="Theinhardt Regular"/>
                <w:sz w:val="14"/>
              </w:rPr>
            </w:r>
          </w:p>
          <w:p>
            <w:pPr>
              <w:pStyle w:val="TableParagraph"/>
              <w:spacing w:line="169" w:lineRule="exact"/>
              <w:ind w:right="0"/>
              <w:jc w:val="center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z w:val="14"/>
              </w:rPr>
              <w:t>273</w:t>
            </w:r>
            <w:r>
              <w:rPr>
                <w:rFonts w:ascii="Theinhardt Bold"/>
                <w:sz w:val="14"/>
              </w:rPr>
            </w:r>
          </w:p>
        </w:tc>
        <w:tc>
          <w:tcPr>
            <w:tcW w:w="6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2" w:lineRule="exact" w:before="9"/>
              <w:ind w:left="158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kWh/a</w:t>
            </w:r>
            <w:r>
              <w:rPr>
                <w:rFonts w:ascii="Theinhardt Regular"/>
                <w:sz w:val="14"/>
              </w:rPr>
            </w:r>
          </w:p>
          <w:p>
            <w:pPr>
              <w:pStyle w:val="TableParagraph"/>
              <w:spacing w:line="169" w:lineRule="exact"/>
              <w:ind w:left="124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 w:hAnsi="Theinhardt Bold" w:cs="Theinhardt Bold" w:eastAsia="Theinhardt Bold"/>
                <w:b/>
                <w:bCs/>
                <w:color w:val="231F20"/>
                <w:spacing w:val="-6"/>
                <w:sz w:val="14"/>
                <w:szCs w:val="14"/>
              </w:rPr>
              <w:t>11’511</w:t>
            </w:r>
            <w:r>
              <w:rPr>
                <w:rFonts w:ascii="Theinhardt Bold" w:hAnsi="Theinhardt Bold" w:cs="Theinhardt Bold" w:eastAsia="Theinhardt Bold"/>
                <w:sz w:val="14"/>
                <w:szCs w:val="14"/>
              </w:rPr>
            </w:r>
          </w:p>
        </w:tc>
      </w:tr>
      <w:tr>
        <w:trPr>
          <w:trHeight w:val="159" w:hRule="exact"/>
        </w:trPr>
        <w:tc>
          <w:tcPr>
            <w:tcW w:w="20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9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Gesamtenergiebedarf: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5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9" w:lineRule="exact"/>
              <w:ind w:left="127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100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9" w:lineRule="exact"/>
              <w:ind w:left="206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pacing w:val="-4"/>
                <w:sz w:val="14"/>
                <w:szCs w:val="14"/>
              </w:rPr>
              <w:t>4’211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</w:tc>
      </w:tr>
      <w:tr>
        <w:trPr>
          <w:trHeight w:val="187" w:hRule="exact"/>
        </w:trPr>
        <w:tc>
          <w:tcPr>
            <w:tcW w:w="20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/>
                <w:color w:val="231F20"/>
                <w:sz w:val="14"/>
              </w:rPr>
              <w:t>Solarstromüberschuss:</w:t>
            </w:r>
            <w:r>
              <w:rPr>
                <w:rFonts w:ascii="Theinhardt Regular" w:hAnsi="Theinhardt Regular"/>
                <w:sz w:val="14"/>
              </w:rPr>
            </w:r>
          </w:p>
        </w:tc>
        <w:tc>
          <w:tcPr>
            <w:tcW w:w="5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130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-2"/>
                <w:sz w:val="14"/>
              </w:rPr>
              <w:t>173</w:t>
            </w:r>
            <w:r>
              <w:rPr>
                <w:rFonts w:ascii="Theinhardt Bold"/>
                <w:sz w:val="14"/>
              </w:rPr>
            </w:r>
          </w:p>
        </w:tc>
        <w:tc>
          <w:tcPr>
            <w:tcW w:w="6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172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 w:hAnsi="Theinhardt Bold" w:cs="Theinhardt Bold" w:eastAsia="Theinhardt Bold"/>
                <w:b/>
                <w:bCs/>
                <w:color w:val="231F20"/>
                <w:spacing w:val="1"/>
                <w:sz w:val="14"/>
                <w:szCs w:val="14"/>
              </w:rPr>
              <w:t>7’300</w:t>
            </w:r>
            <w:r>
              <w:rPr>
                <w:rFonts w:ascii="Theinhardt Bold" w:hAnsi="Theinhardt Bold" w:cs="Theinhardt Bold" w:eastAsia="Theinhardt Bold"/>
                <w:sz w:val="14"/>
                <w:szCs w:val="14"/>
              </w:rPr>
            </w:r>
          </w:p>
        </w:tc>
      </w:tr>
    </w:tbl>
    <w:p>
      <w:pPr>
        <w:spacing w:line="160" w:lineRule="exact" w:before="17"/>
        <w:ind w:left="106" w:right="634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Bestätigt von </w:t>
      </w:r>
      <w:r>
        <w:rPr>
          <w:rFonts w:ascii="Theinhardt Bold" w:hAnsi="Theinhardt Bold"/>
          <w:b/>
          <w:color w:val="231F20"/>
          <w:spacing w:val="1"/>
          <w:sz w:val="14"/>
        </w:rPr>
        <w:t>SH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2"/>
          <w:sz w:val="14"/>
        </w:rPr>
        <w:t>POWER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am </w:t>
      </w:r>
      <w:r>
        <w:rPr>
          <w:rFonts w:ascii="Theinhardt Regular" w:hAnsi="Theinhardt Regular"/>
          <w:color w:val="231F20"/>
          <w:spacing w:val="-3"/>
          <w:sz w:val="14"/>
        </w:rPr>
        <w:t>10.04.19</w:t>
      </w:r>
      <w:r>
        <w:rPr>
          <w:rFonts w:ascii="Theinhardt Regular" w:hAnsi="Theinhardt Regular"/>
          <w:color w:val="231F20"/>
          <w:spacing w:val="25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Markus</w:t>
      </w:r>
      <w:r>
        <w:rPr>
          <w:rFonts w:ascii="Theinhardt Regular" w:hAnsi="Theinhardt Regular"/>
          <w:color w:val="231F20"/>
          <w:sz w:val="14"/>
        </w:rPr>
        <w:t> Baumer,</w:t>
      </w:r>
      <w:r>
        <w:rPr>
          <w:rFonts w:ascii="Theinhardt Regular" w:hAnsi="Theinhardt Regular"/>
          <w:color w:val="231F20"/>
          <w:sz w:val="14"/>
        </w:rPr>
        <w:t> </w:t>
      </w:r>
      <w:hyperlink r:id="rId6">
        <w:r>
          <w:rPr>
            <w:rFonts w:ascii="Theinhardt Regular" w:hAnsi="Theinhardt Regular"/>
            <w:color w:val="231F20"/>
            <w:spacing w:val="1"/>
            <w:sz w:val="14"/>
          </w:rPr>
          <w:t>markus.baumer@shpower.ch</w:t>
        </w:r>
        <w:r>
          <w:rPr>
            <w:rFonts w:ascii="Theinhardt Regular" w:hAnsi="Theinhardt Regular"/>
            <w:sz w:val="14"/>
          </w:rPr>
        </w:r>
      </w:hyperlink>
    </w:p>
    <w:p>
      <w:pPr>
        <w:spacing w:before="105"/>
        <w:ind w:left="106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>
          <w:rFonts w:ascii="Theinhardt Black"/>
          <w:b/>
          <w:color w:val="231F20"/>
          <w:sz w:val="14"/>
        </w:rPr>
        <w:t>Beteiligte Personen</w:t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06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spacing w:line="160" w:lineRule="exact" w:before="28"/>
        <w:ind w:left="106" w:right="1361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Bauherr, Standort </w:t>
      </w:r>
      <w:r>
        <w:rPr>
          <w:rFonts w:ascii="Theinhardt Bold" w:hAnsi="Theinhardt Bold"/>
          <w:b/>
          <w:color w:val="231F20"/>
          <w:spacing w:val="1"/>
          <w:sz w:val="14"/>
        </w:rPr>
        <w:t>des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Gebäudes</w:t>
      </w:r>
      <w:r>
        <w:rPr>
          <w:rFonts w:ascii="Theinhardt Bold" w:hAnsi="Theinhardt Bold"/>
          <w:b/>
          <w:color w:val="231F20"/>
          <w:spacing w:val="28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Bernhard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und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Esther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Oettli</w:t>
      </w:r>
      <w:r>
        <w:rPr>
          <w:rFonts w:ascii="Theinhardt Regular" w:hAnsi="Theinhardt Regular"/>
          <w:color w:val="231F20"/>
          <w:spacing w:val="28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Gellerstrasse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5"/>
          <w:sz w:val="14"/>
        </w:rPr>
        <w:t>118,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8222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Beringen</w:t>
      </w:r>
      <w:r>
        <w:rPr>
          <w:rFonts w:ascii="Theinhardt Regular" w:hAnsi="Theinhardt Regular"/>
          <w:sz w:val="14"/>
        </w:rPr>
      </w:r>
    </w:p>
    <w:p>
      <w:pPr>
        <w:spacing w:line="172" w:lineRule="exact" w:before="49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Architekturbüro</w:t>
      </w:r>
      <w:r>
        <w:rPr>
          <w:rFonts w:ascii="Theinhardt Bold" w:hAnsi="Theinhardt Bold"/>
          <w:sz w:val="14"/>
        </w:rPr>
      </w:r>
    </w:p>
    <w:p>
      <w:pPr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Bauatelier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Metzler</w:t>
      </w:r>
      <w:r>
        <w:rPr>
          <w:rFonts w:ascii="Theinhardt Regular"/>
          <w:sz w:val="14"/>
        </w:rPr>
      </w:r>
    </w:p>
    <w:p>
      <w:pPr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2"/>
          <w:sz w:val="14"/>
        </w:rPr>
        <w:t>Schmidgasse</w:t>
      </w:r>
      <w:r>
        <w:rPr>
          <w:rFonts w:ascii="Theinhardt Regular"/>
          <w:color w:val="231F20"/>
          <w:sz w:val="14"/>
        </w:rPr>
        <w:t> 25e, </w:t>
      </w:r>
      <w:r>
        <w:rPr>
          <w:rFonts w:ascii="Theinhardt Regular"/>
          <w:color w:val="231F20"/>
          <w:spacing w:val="1"/>
          <w:sz w:val="14"/>
        </w:rPr>
        <w:t>8500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Frauenfeld</w:t>
      </w:r>
      <w:r>
        <w:rPr>
          <w:rFonts w:ascii="Theinhardt Regular"/>
          <w:sz w:val="14"/>
        </w:rPr>
      </w:r>
    </w:p>
    <w:p>
      <w:pPr>
        <w:spacing w:line="172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+41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52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740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08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81</w:t>
      </w:r>
      <w:hyperlink r:id="rId7">
        <w:r>
          <w:rPr>
            <w:rFonts w:ascii="Theinhardt Regular"/>
            <w:color w:val="231F20"/>
            <w:spacing w:val="-4"/>
            <w:sz w:val="14"/>
          </w:rPr>
          <w:t>,</w:t>
        </w:r>
        <w:r>
          <w:rPr>
            <w:rFonts w:ascii="Theinhardt Regular"/>
            <w:color w:val="231F20"/>
            <w:sz w:val="14"/>
          </w:rPr>
          <w:t> </w:t>
        </w:r>
        <w:r>
          <w:rPr>
            <w:rFonts w:ascii="Theinhardt Regular"/>
            <w:color w:val="231F20"/>
            <w:spacing w:val="1"/>
            <w:sz w:val="14"/>
          </w:rPr>
          <w:t>www.bauatelier-metzler.ch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PV-Anlage</w:t>
      </w:r>
      <w:r>
        <w:rPr>
          <w:rFonts w:ascii="Theinhardt Bold"/>
          <w:sz w:val="14"/>
        </w:rPr>
      </w:r>
    </w:p>
    <w:p>
      <w:pPr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SH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POWER</w:t>
      </w:r>
      <w:r>
        <w:rPr>
          <w:rFonts w:ascii="Theinhardt Regular"/>
          <w:sz w:val="14"/>
        </w:rPr>
      </w:r>
    </w:p>
    <w:p>
      <w:pPr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2"/>
          <w:sz w:val="14"/>
        </w:rPr>
        <w:t>Mühlenstrasse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3"/>
          <w:sz w:val="14"/>
        </w:rPr>
        <w:t>19,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8201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Schaffhausen</w:t>
      </w:r>
      <w:r>
        <w:rPr>
          <w:rFonts w:ascii="Theinhardt Regular" w:hAnsi="Theinhardt Regular"/>
          <w:sz w:val="14"/>
        </w:rPr>
      </w:r>
    </w:p>
    <w:p>
      <w:pPr>
        <w:spacing w:line="172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+41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52</w:t>
      </w:r>
      <w:r>
        <w:rPr>
          <w:rFonts w:ascii="Theinhardt Regular"/>
          <w:color w:val="231F20"/>
          <w:sz w:val="14"/>
        </w:rPr>
        <w:t> 635 </w:t>
      </w:r>
      <w:r>
        <w:rPr>
          <w:rFonts w:ascii="Theinhardt Regular"/>
          <w:color w:val="231F20"/>
          <w:spacing w:val="-7"/>
          <w:sz w:val="14"/>
        </w:rPr>
        <w:t>11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00</w:t>
      </w:r>
      <w:hyperlink r:id="rId8">
        <w:r>
          <w:rPr>
            <w:rFonts w:ascii="Theinhardt Regular"/>
            <w:color w:val="231F20"/>
            <w:spacing w:val="1"/>
            <w:sz w:val="14"/>
          </w:rPr>
          <w:t>,</w:t>
        </w:r>
        <w:r>
          <w:rPr>
            <w:rFonts w:ascii="Theinhardt Regular"/>
            <w:color w:val="231F20"/>
            <w:sz w:val="14"/>
          </w:rPr>
          <w:t> </w:t>
        </w:r>
        <w:r>
          <w:rPr>
            <w:rFonts w:ascii="Theinhardt Regular"/>
            <w:color w:val="231F20"/>
            <w:spacing w:val="1"/>
            <w:sz w:val="14"/>
          </w:rPr>
          <w:t>www.shpower.ch</w:t>
        </w:r>
        <w:r>
          <w:rPr>
            <w:rFonts w:ascii="Theinhardt Regular"/>
            <w:sz w:val="14"/>
          </w:rPr>
        </w:r>
      </w:hyperlink>
    </w:p>
    <w:p>
      <w:pPr>
        <w:spacing w:after="0" w:line="172" w:lineRule="exact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740" w:right="440"/>
          <w:cols w:num="3" w:equalWidth="0">
            <w:col w:w="3462" w:space="109"/>
            <w:col w:w="3463" w:space="109"/>
            <w:col w:w="3587"/>
          </w:cols>
        </w:sectPr>
      </w:pPr>
    </w:p>
    <w:p>
      <w:pPr>
        <w:spacing w:line="240" w:lineRule="auto" w:before="10"/>
        <w:rPr>
          <w:rFonts w:ascii="Theinhardt Regular" w:hAnsi="Theinhardt Regular" w:cs="Theinhardt Regular" w:eastAsia="Theinhardt Regular"/>
          <w:sz w:val="2"/>
          <w:szCs w:val="2"/>
        </w:rPr>
      </w:pPr>
    </w:p>
    <w:p>
      <w:pPr>
        <w:spacing w:line="20" w:lineRule="atLeast"/>
        <w:ind w:left="7249" w:right="0" w:firstLine="0"/>
        <w:rPr>
          <w:rFonts w:ascii="Theinhardt Regular" w:hAnsi="Theinhardt Regular" w:cs="Theinhardt Regular" w:eastAsia="Theinhardt Regular"/>
          <w:sz w:val="2"/>
          <w:szCs w:val="2"/>
        </w:rPr>
      </w:pPr>
      <w:r>
        <w:rPr>
          <w:rFonts w:ascii="Theinhardt Regular" w:hAnsi="Theinhardt Regular" w:cs="Theinhardt Regular" w:eastAsia="Theinhardt Regular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Regular" w:hAnsi="Theinhardt Regular" w:cs="Theinhardt Regular" w:eastAsia="Theinhardt Regular"/>
          <w:sz w:val="2"/>
          <w:szCs w:val="2"/>
        </w:rPr>
      </w: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4"/>
        <w:rPr>
          <w:rFonts w:ascii="Theinhardt Regular" w:hAnsi="Theinhardt Regular" w:cs="Theinhardt Regular" w:eastAsia="Theinhardt Regular"/>
          <w:sz w:val="10"/>
          <w:szCs w:val="10"/>
        </w:rPr>
      </w:pPr>
    </w:p>
    <w:p>
      <w:pPr>
        <w:spacing w:line="200" w:lineRule="atLeast"/>
        <w:ind w:left="7249" w:right="0" w:firstLine="0"/>
        <w:rPr>
          <w:rFonts w:ascii="Theinhardt Regular" w:hAnsi="Theinhardt Regular" w:cs="Theinhardt Regular" w:eastAsia="Theinhardt Regular"/>
          <w:sz w:val="20"/>
          <w:szCs w:val="20"/>
        </w:rPr>
      </w:pPr>
      <w:r>
        <w:rPr>
          <w:rFonts w:ascii="Theinhardt Regular" w:hAnsi="Theinhardt Regular" w:cs="Theinhardt Regular" w:eastAsia="Theinhardt Regular"/>
          <w:sz w:val="20"/>
          <w:szCs w:val="20"/>
        </w:rPr>
        <w:drawing>
          <wp:inline distT="0" distB="0" distL="0" distR="0">
            <wp:extent cx="2140245" cy="1511808"/>
            <wp:effectExtent l="0" t="0" r="0" b="0"/>
            <wp:docPr id="1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0245" cy="151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Regular" w:hAnsi="Theinhardt Regular" w:cs="Theinhardt Regular" w:eastAsia="Theinhardt Regular"/>
          <w:sz w:val="20"/>
          <w:szCs w:val="20"/>
        </w:rPr>
      </w:r>
    </w:p>
    <w:p>
      <w:pPr>
        <w:tabs>
          <w:tab w:pos="7247" w:val="left" w:leader="none"/>
        </w:tabs>
        <w:spacing w:before="15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/>
        <w:pict>
          <v:shape style="position:absolute;margin-left:43.228001pt;margin-top:-217.483109pt;width:346.536pt;height:218.268pt;mso-position-horizontal-relative:page;mso-position-vertical-relative:paragraph;z-index:-4960" type="#_x0000_t75" stroked="false">
            <v:imagedata r:id="rId10" o:title=""/>
          </v:shape>
        </w:pict>
      </w:r>
      <w:r>
        <w:rPr>
          <w:rFonts w:ascii="Theinhardt Bold"/>
          <w:b/>
          <w:color w:val="231F20"/>
          <w:sz w:val="14"/>
        </w:rPr>
        <w:t>1</w:t>
        <w:tab/>
      </w:r>
      <w:r>
        <w:rPr>
          <w:rFonts w:ascii="Theinhardt Bold"/>
          <w:b/>
          <w:color w:val="231F20"/>
          <w:position w:val="2"/>
          <w:sz w:val="14"/>
        </w:rPr>
        <w:t>2</w:t>
      </w:r>
      <w:r>
        <w:rPr>
          <w:rFonts w:ascii="Theinhardt Bold"/>
          <w:sz w:val="14"/>
        </w:rPr>
      </w:r>
    </w:p>
    <w:p>
      <w:pPr>
        <w:spacing w:line="240" w:lineRule="auto" w:before="5"/>
        <w:rPr>
          <w:rFonts w:ascii="Theinhardt Bold" w:hAnsi="Theinhardt Bold" w:cs="Theinhardt Bold" w:eastAsia="Theinhardt Bold"/>
          <w:b/>
          <w:bCs/>
          <w:sz w:val="18"/>
          <w:szCs w:val="18"/>
        </w:rPr>
      </w:pPr>
    </w:p>
    <w:p>
      <w:pPr>
        <w:spacing w:after="0" w:line="240" w:lineRule="auto"/>
        <w:rPr>
          <w:rFonts w:ascii="Theinhardt Bold" w:hAnsi="Theinhardt Bold" w:cs="Theinhardt Bold" w:eastAsia="Theinhardt Bold"/>
          <w:sz w:val="18"/>
          <w:szCs w:val="18"/>
        </w:rPr>
        <w:sectPr>
          <w:type w:val="continuous"/>
          <w:pgSz w:w="11910" w:h="16840"/>
          <w:pgMar w:top="840" w:bottom="280" w:left="740" w:right="440"/>
        </w:sectPr>
      </w:pPr>
    </w:p>
    <w:p>
      <w:pPr>
        <w:numPr>
          <w:ilvl w:val="0"/>
          <w:numId w:val="1"/>
        </w:numPr>
        <w:tabs>
          <w:tab w:pos="334" w:val="left" w:leader="none"/>
        </w:tabs>
        <w:spacing w:line="160" w:lineRule="exact" w:before="76"/>
        <w:ind w:left="333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Die auf </w:t>
      </w:r>
      <w:r>
        <w:rPr>
          <w:rFonts w:ascii="Theinhardt Bold" w:hAnsi="Theinhardt Bold"/>
          <w:b/>
          <w:color w:val="231F20"/>
          <w:spacing w:val="-1"/>
          <w:sz w:val="14"/>
        </w:rPr>
        <w:t>dem</w:t>
      </w:r>
      <w:r>
        <w:rPr>
          <w:rFonts w:ascii="Theinhardt Bold" w:hAnsi="Theinhardt Bold"/>
          <w:b/>
          <w:color w:val="231F20"/>
          <w:sz w:val="14"/>
        </w:rPr>
        <w:t> Süddach gut integrierte PV-Anlage</w:t>
      </w:r>
      <w:r>
        <w:rPr>
          <w:rFonts w:ascii="Theinhardt Bold" w:hAnsi="Theinhardt Bold"/>
          <w:b/>
          <w:color w:val="231F20"/>
          <w:spacing w:val="28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produziert </w:t>
      </w:r>
      <w:r>
        <w:rPr>
          <w:rFonts w:ascii="Theinhardt Bold" w:hAnsi="Theinhardt Bold"/>
          <w:b/>
          <w:color w:val="231F20"/>
          <w:spacing w:val="-1"/>
          <w:sz w:val="14"/>
        </w:rPr>
        <w:t>jährlich</w:t>
      </w:r>
      <w:r>
        <w:rPr>
          <w:rFonts w:ascii="Theinhardt Bold" w:hAnsi="Theinhardt Bold"/>
          <w:b/>
          <w:color w:val="231F20"/>
          <w:sz w:val="14"/>
        </w:rPr>
        <w:t> ca.</w:t>
      </w:r>
      <w:r>
        <w:rPr>
          <w:rFonts w:ascii="Theinhardt Bold" w:hAnsi="Theinhardt Bold"/>
          <w:b/>
          <w:color w:val="231F20"/>
          <w:spacing w:val="-6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11'500 kWh oder 273%</w:t>
      </w:r>
      <w:r>
        <w:rPr>
          <w:rFonts w:ascii="Theinhardt Bold" w:hAnsi="Theinhardt Bold"/>
          <w:sz w:val="14"/>
        </w:rPr>
      </w:r>
    </w:p>
    <w:p>
      <w:pPr>
        <w:numPr>
          <w:ilvl w:val="0"/>
          <w:numId w:val="1"/>
        </w:numPr>
        <w:tabs>
          <w:tab w:pos="334" w:val="left" w:leader="none"/>
        </w:tabs>
        <w:spacing w:line="160" w:lineRule="exact" w:before="76"/>
        <w:ind w:left="333" w:right="3863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br w:type="column"/>
        <w:t>Die Anzahl und Anordnung </w:t>
      </w:r>
      <w:r>
        <w:rPr>
          <w:rFonts w:ascii="Theinhardt Bold" w:hAnsi="Theinhardt Bold"/>
          <w:b/>
          <w:color w:val="231F20"/>
          <w:spacing w:val="-1"/>
          <w:sz w:val="14"/>
        </w:rPr>
        <w:t>der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Fenster</w:t>
      </w:r>
      <w:r>
        <w:rPr>
          <w:rFonts w:ascii="Theinhardt Bold" w:hAnsi="Theinhardt Bold"/>
          <w:b/>
          <w:color w:val="231F20"/>
          <w:sz w:val="14"/>
        </w:rPr>
        <w:t> des</w:t>
      </w:r>
      <w:r>
        <w:rPr>
          <w:rFonts w:ascii="Theinhardt Bold" w:hAnsi="Theinhardt Bold"/>
          <w:b/>
          <w:color w:val="231F20"/>
          <w:spacing w:val="20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Holzbaus ermöglicht eine gute  passive </w:t>
      </w:r>
      <w:r>
        <w:rPr>
          <w:rFonts w:ascii="Theinhardt Bold" w:hAnsi="Theinhardt Bold"/>
          <w:b/>
          <w:color w:val="231F20"/>
          <w:spacing w:val="-1"/>
          <w:sz w:val="14"/>
        </w:rPr>
        <w:t>solare</w:t>
      </w:r>
      <w:r>
        <w:rPr>
          <w:rFonts w:ascii="Theinhardt Bold" w:hAnsi="Theinhardt Bold"/>
          <w:b/>
          <w:color w:val="231F20"/>
          <w:spacing w:val="28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Energienutzung und reduziert </w:t>
      </w:r>
      <w:r>
        <w:rPr>
          <w:rFonts w:ascii="Theinhardt Bold" w:hAnsi="Theinhardt Bold"/>
          <w:b/>
          <w:color w:val="231F20"/>
          <w:spacing w:val="-1"/>
          <w:sz w:val="14"/>
        </w:rPr>
        <w:t>Energieverluste</w:t>
      </w:r>
      <w:r>
        <w:rPr>
          <w:rFonts w:ascii="Theinhardt Bold" w:hAnsi="Theinhardt Bold"/>
          <w:sz w:val="14"/>
        </w:rPr>
      </w:r>
    </w:p>
    <w:p>
      <w:pPr>
        <w:spacing w:after="0" w:line="160" w:lineRule="exact"/>
        <w:jc w:val="left"/>
        <w:rPr>
          <w:rFonts w:ascii="Theinhardt Bold" w:hAnsi="Theinhardt Bold" w:cs="Theinhardt Bold" w:eastAsia="Theinhardt Bold"/>
          <w:sz w:val="14"/>
          <w:szCs w:val="14"/>
        </w:rPr>
        <w:sectPr>
          <w:type w:val="continuous"/>
          <w:pgSz w:w="11910" w:h="16840"/>
          <w:pgMar w:top="840" w:bottom="280" w:left="740" w:right="440"/>
          <w:cols w:num="2" w:equalWidth="0">
            <w:col w:w="3371" w:space="201"/>
            <w:col w:w="7158"/>
          </w:cols>
        </w:sect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2"/>
        <w:rPr>
          <w:rFonts w:ascii="Theinhardt Bold" w:hAnsi="Theinhardt Bold" w:cs="Theinhardt Bold" w:eastAsia="Theinhardt Bold"/>
          <w:b/>
          <w:bCs/>
          <w:sz w:val="16"/>
          <w:szCs w:val="16"/>
        </w:rPr>
      </w:pPr>
    </w:p>
    <w:p>
      <w:pPr>
        <w:spacing w:before="70"/>
        <w:ind w:left="6666" w:right="0" w:firstLine="0"/>
        <w:jc w:val="left"/>
        <w:rPr>
          <w:rFonts w:ascii="Theinhardt Heavy" w:hAnsi="Theinhardt Heavy" w:cs="Theinhardt Heavy" w:eastAsia="Theinhardt Heavy"/>
          <w:sz w:val="14"/>
          <w:szCs w:val="14"/>
        </w:rPr>
      </w:pP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2019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2019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Heavy"/>
          <w:b/>
          <w:color w:val="231F20"/>
          <w:sz w:val="14"/>
        </w:rPr>
        <w:t>59</w:t>
      </w:r>
      <w:r>
        <w:rPr>
          <w:rFonts w:ascii="Theinhardt Heavy"/>
          <w:sz w:val="14"/>
        </w:rPr>
      </w:r>
    </w:p>
    <w:sectPr>
      <w:type w:val="continuous"/>
      <w:pgSz w:w="11910" w:h="16840"/>
      <w:pgMar w:top="840" w:bottom="280" w:left="74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heinhardt Regular">
    <w:altName w:val="Theinhardt Regular"/>
    <w:charset w:val="0"/>
    <w:family w:val="swiss"/>
    <w:pitch w:val="variable"/>
  </w:font>
  <w:font w:name="Theinhardt Heavy">
    <w:altName w:val="Theinhardt Heavy"/>
    <w:charset w:val="0"/>
    <w:family w:val="swiss"/>
    <w:pitch w:val="variable"/>
  </w:font>
  <w:font w:name="Theinhardt Bold">
    <w:altName w:val="Theinhardt Bold"/>
    <w:charset w:val="0"/>
    <w:family w:val="swiss"/>
    <w:pitch w:val="variable"/>
  </w:font>
  <w:font w:name="Theinhardt Black">
    <w:altName w:val="Theinhardt Black"/>
    <w:charset w:val="0"/>
    <w:family w:val="swiss"/>
    <w:pitch w:val="variable"/>
  </w:font>
  <w:font w:name="Theinhardt Light Italic">
    <w:altName w:val="Theinhardt Light Italic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333" w:hanging="227"/>
        <w:jc w:val="left"/>
      </w:pPr>
      <w:rPr>
        <w:rFonts w:hint="default" w:ascii="Theinhardt Bold" w:hAnsi="Theinhardt Bold" w:eastAsia="Theinhardt Bold"/>
        <w:b/>
        <w:bCs/>
        <w:color w:val="231F20"/>
        <w:sz w:val="14"/>
        <w:szCs w:val="14"/>
      </w:rPr>
    </w:lvl>
    <w:lvl w:ilvl="1">
      <w:start w:val="1"/>
      <w:numFmt w:val="bullet"/>
      <w:lvlText w:val="•"/>
      <w:lvlJc w:val="left"/>
      <w:pPr>
        <w:ind w:left="636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40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44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47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851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155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459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762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60"/>
      <w:ind w:left="106"/>
    </w:pPr>
    <w:rPr>
      <w:rFonts w:ascii="Theinhardt Regular" w:hAnsi="Theinhardt Regular" w:eastAsia="Theinhardt Regular"/>
      <w:sz w:val="18"/>
      <w:szCs w:val="18"/>
    </w:rPr>
  </w:style>
  <w:style w:styleId="Heading1" w:type="paragraph">
    <w:name w:val="Heading 1"/>
    <w:basedOn w:val="Normal"/>
    <w:uiPriority w:val="1"/>
    <w:qFormat/>
    <w:pPr>
      <w:ind w:left="106"/>
      <w:outlineLvl w:val="1"/>
    </w:pPr>
    <w:rPr>
      <w:rFonts w:ascii="Theinhardt Bold" w:hAnsi="Theinhardt Bold" w:eastAsia="Theinhardt Bold"/>
      <w:b/>
      <w:bCs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mailto:markus.baumer@shpower.ch" TargetMode="External"/><Relationship Id="rId7" Type="http://schemas.openxmlformats.org/officeDocument/2006/relationships/hyperlink" Target="http://www.bauatelier-metzler.ch/" TargetMode="External"/><Relationship Id="rId8" Type="http://schemas.openxmlformats.org/officeDocument/2006/relationships/hyperlink" Target="http://www.shpower.ch/" TargetMode="External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2019-10-04T09:53:52Z</dcterms:created>
  <dcterms:modified xsi:type="dcterms:W3CDTF">2019-10-04T09:53:52Z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2019-10-03T00:00:00Z</vt:filetime>
  </property>
  <property fmtid="{D5CDD505-2E9C-101B-9397-08002B2CF9AE}" pid="3" name="LastSaved">
    <vt:filetime>2019-10-04T00:00:00Z</vt:filetime>
  </property>
</Properties>
</file>