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3" w:val="left" w:leader="none"/>
        </w:tabs>
        <w:spacing w:line="230" w:lineRule="exact" w:before="28"/>
        <w:ind w:left="11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913401pt;margin-top:13.647326pt;width:.1pt;height:.1pt;mso-position-horizontal-relative:page;mso-position-vertical-relative:paragraph;z-index:-6640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096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13401pt;margin-top:25.147326pt;width:.1pt;height:.1pt;mso-position-horizontal-relative:page;mso-position-vertical-relative:paragraph;z-index:-6592" coordorigin="578,503" coordsize="2,2">
            <v:shape style="position:absolute;left:578;top:503;width:2;height:2" coordorigin="578,503" coordsize="0,0" path="m578,503l57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25.147326pt;width:.1pt;height:.1pt;mso-position-horizontal-relative:page;mso-position-vertical-relative:paragraph;z-index:1144" coordorigin="3022,503" coordsize="2,2">
            <v:shape style="position:absolute;left:3022;top:503;width:2;height:2" coordorigin="3022,503" coordsize="0,0" path="m3022,503l3022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-Solarpreis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14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Dreifamilien-Reihenhaus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vier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Wohneinheiten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Meisterschwanden/Tennwil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erfüllt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guter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Wärmedämmung,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A++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Haushaltgeräten,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LED-Lampen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effizienten,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solarbetriebenen</w:t>
      </w:r>
      <w:r>
        <w:rPr>
          <w:rFonts w:ascii="Theinhardt Bold" w:hAnsi="Theinhardt Bold" w:cs="Theinhardt Bold" w:eastAsia="Theinhardt Bold"/>
          <w:b/>
          <w:bCs/>
          <w:color w:val="231F20"/>
          <w:spacing w:val="5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Erdsonden-Wärmepumpen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Minergie-P-Standard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konsumiert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19’900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ökolo-</w:t>
      </w:r>
      <w:r>
        <w:rPr>
          <w:rFonts w:ascii="Theinhardt Bold" w:hAnsi="Theinhardt Bold" w:cs="Theinhardt Bold" w:eastAsia="Theinhardt Bold"/>
          <w:b/>
          <w:bCs/>
          <w:color w:val="231F20"/>
          <w:spacing w:val="5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gische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Holz-Neubau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rekordverdächtig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tiefe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Energiekennzahl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(EKZ)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23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kWh/m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9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Süddach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beispielhaft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31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Jahr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5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36’600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kWh.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Damit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PlusEnergie-MFH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184%.</w:t>
      </w:r>
      <w:r>
        <w:rPr>
          <w:rFonts w:ascii="Theinhardt Bold" w:hAnsi="Theinhardt Bold" w:cs="Theinhardt Bold" w:eastAsia="Theinhardt Bold"/>
          <w:b/>
          <w:bCs/>
          <w:color w:val="231F20"/>
          <w:spacing w:val="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6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16’700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zwölf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Elektroautos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km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54" w:space="118"/>
            <w:col w:w="8038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5"/>
        <w:ind w:left="115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184</w:t>
      </w:r>
      <w:r>
        <w:rPr>
          <w:rFonts w:ascii="Theinhardt Black"/>
          <w:b/>
          <w:color w:val="0067B1"/>
          <w:sz w:val="40"/>
        </w:rPr>
        <w:t>%</w:t>
      </w:r>
      <w:r>
        <w:rPr>
          <w:rFonts w:ascii="Theinhardt Black"/>
          <w:b/>
          <w:color w:val="0067B1"/>
          <w:spacing w:val="-8"/>
          <w:sz w:val="40"/>
        </w:rPr>
        <w:t> P</w:t>
      </w:r>
      <w:r>
        <w:rPr>
          <w:rFonts w:ascii="Theinhardt Black"/>
          <w:b/>
          <w:color w:val="0067B1"/>
          <w:spacing w:val="-6"/>
          <w:sz w:val="40"/>
        </w:rPr>
        <w:t>E</w:t>
      </w:r>
      <w:r>
        <w:rPr>
          <w:rFonts w:ascii="Theinhardt Black"/>
          <w:b/>
          <w:color w:val="0067B1"/>
          <w:spacing w:val="-4"/>
          <w:sz w:val="40"/>
        </w:rPr>
        <w:t>B</w:t>
      </w:r>
      <w:r>
        <w:rPr>
          <w:rFonts w:ascii="Theinhardt Black"/>
          <w:b/>
          <w:color w:val="0067B1"/>
          <w:sz w:val="40"/>
        </w:rPr>
        <w:t>-</w:t>
      </w:r>
      <w:r>
        <w:rPr>
          <w:rFonts w:ascii="Theinhardt Black"/>
          <w:b/>
          <w:color w:val="0067B1"/>
          <w:spacing w:val="-2"/>
          <w:sz w:val="40"/>
        </w:rPr>
        <w:t>Re</w:t>
      </w:r>
      <w:r>
        <w:rPr>
          <w:rFonts w:ascii="Theinhardt Black"/>
          <w:b/>
          <w:color w:val="0067B1"/>
          <w:sz w:val="40"/>
        </w:rPr>
        <w:t>i</w:t>
      </w:r>
      <w:r>
        <w:rPr>
          <w:rFonts w:ascii="Theinhardt Black"/>
          <w:b/>
          <w:color w:val="0067B1"/>
          <w:spacing w:val="-3"/>
          <w:sz w:val="40"/>
        </w:rPr>
        <w:t>h</w:t>
      </w:r>
      <w:r>
        <w:rPr>
          <w:rFonts w:ascii="Theinhardt Black"/>
          <w:b/>
          <w:color w:val="0067B1"/>
          <w:spacing w:val="-2"/>
          <w:sz w:val="40"/>
        </w:rPr>
        <w:t>en</w:t>
      </w:r>
      <w:r>
        <w:rPr>
          <w:rFonts w:ascii="Theinhardt Black"/>
          <w:b/>
          <w:color w:val="0067B1"/>
          <w:spacing w:val="1"/>
          <w:sz w:val="40"/>
        </w:rPr>
        <w:t>h</w:t>
      </w:r>
      <w:r>
        <w:rPr>
          <w:rFonts w:ascii="Theinhardt Black"/>
          <w:b/>
          <w:color w:val="0067B1"/>
          <w:sz w:val="40"/>
        </w:rPr>
        <w:t>a</w:t>
      </w:r>
      <w:r>
        <w:rPr>
          <w:rFonts w:ascii="Theinhardt Black"/>
          <w:b/>
          <w:color w:val="0067B1"/>
          <w:spacing w:val="3"/>
          <w:sz w:val="40"/>
        </w:rPr>
        <w:t>u</w:t>
      </w:r>
      <w:r>
        <w:rPr>
          <w:rFonts w:ascii="Theinhardt Black"/>
          <w:b/>
          <w:color w:val="0067B1"/>
          <w:spacing w:val="6"/>
          <w:sz w:val="40"/>
        </w:rPr>
        <w:t>s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561</w:t>
      </w:r>
      <w:r>
        <w:rPr>
          <w:rFonts w:ascii="Theinhardt Black"/>
          <w:b/>
          <w:color w:val="0067B1"/>
          <w:sz w:val="40"/>
        </w:rPr>
        <w:t>6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1"/>
          <w:sz w:val="40"/>
        </w:rPr>
        <w:t>M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4"/>
          <w:sz w:val="40"/>
        </w:rPr>
        <w:t>i</w:t>
      </w:r>
      <w:r>
        <w:rPr>
          <w:rFonts w:ascii="Theinhardt Black"/>
          <w:b/>
          <w:color w:val="0067B1"/>
          <w:spacing w:val="8"/>
          <w:sz w:val="40"/>
        </w:rPr>
        <w:t>s</w:t>
      </w:r>
      <w:r>
        <w:rPr>
          <w:rFonts w:ascii="Theinhardt Black"/>
          <w:b/>
          <w:color w:val="0067B1"/>
          <w:sz w:val="40"/>
        </w:rPr>
        <w:t>t</w:t>
      </w:r>
      <w:r>
        <w:rPr>
          <w:rFonts w:ascii="Theinhardt Black"/>
          <w:b/>
          <w:color w:val="0067B1"/>
          <w:spacing w:val="-3"/>
          <w:sz w:val="40"/>
        </w:rPr>
        <w:t>e</w:t>
      </w:r>
      <w:r>
        <w:rPr>
          <w:rFonts w:ascii="Theinhardt Black"/>
          <w:b/>
          <w:color w:val="0067B1"/>
          <w:spacing w:val="12"/>
          <w:sz w:val="40"/>
        </w:rPr>
        <w:t>r</w:t>
      </w:r>
      <w:r>
        <w:rPr>
          <w:rFonts w:ascii="Theinhardt Black"/>
          <w:b/>
          <w:color w:val="0067B1"/>
          <w:spacing w:val="2"/>
          <w:sz w:val="40"/>
        </w:rPr>
        <w:t>sc</w:t>
      </w:r>
      <w:r>
        <w:rPr>
          <w:rFonts w:ascii="Theinhardt Black"/>
          <w:b/>
          <w:color w:val="0067B1"/>
          <w:spacing w:val="-6"/>
          <w:sz w:val="40"/>
        </w:rPr>
        <w:t>h</w:t>
      </w:r>
      <w:r>
        <w:rPr>
          <w:rFonts w:ascii="Theinhardt Black"/>
          <w:b/>
          <w:color w:val="0067B1"/>
          <w:sz w:val="40"/>
        </w:rPr>
        <w:t>wa</w:t>
      </w:r>
      <w:r>
        <w:rPr>
          <w:rFonts w:ascii="Theinhardt Black"/>
          <w:b/>
          <w:color w:val="0067B1"/>
          <w:spacing w:val="-3"/>
          <w:sz w:val="40"/>
        </w:rPr>
        <w:t>nd</w:t>
      </w:r>
      <w:r>
        <w:rPr>
          <w:rFonts w:ascii="Theinhardt Black"/>
          <w:b/>
          <w:color w:val="0067B1"/>
          <w:spacing w:val="-2"/>
          <w:sz w:val="40"/>
        </w:rPr>
        <w:t>e</w:t>
      </w:r>
      <w:r>
        <w:rPr>
          <w:rFonts w:ascii="Theinhardt Black"/>
          <w:b/>
          <w:color w:val="0067B1"/>
          <w:spacing w:val="6"/>
          <w:sz w:val="40"/>
        </w:rPr>
        <w:t>n</w:t>
      </w:r>
      <w:r>
        <w:rPr>
          <w:rFonts w:ascii="Theinhardt Black"/>
          <w:b/>
          <w:color w:val="0067B1"/>
          <w:spacing w:val="-30"/>
          <w:sz w:val="40"/>
        </w:rPr>
        <w:t>/</w:t>
      </w:r>
      <w:r>
        <w:rPr>
          <w:rFonts w:ascii="Theinhardt Black"/>
          <w:b/>
          <w:color w:val="0067B1"/>
          <w:spacing w:val="-8"/>
          <w:sz w:val="40"/>
        </w:rPr>
        <w:t>A</w:t>
      </w:r>
      <w:r>
        <w:rPr>
          <w:rFonts w:ascii="Theinhardt Black"/>
          <w:b/>
          <w:color w:val="0067B1"/>
          <w:sz w:val="40"/>
        </w:rPr>
        <w:t>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8" w:firstLine="0"/>
        <w:jc w:val="both"/>
      </w:pP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ländlichen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Aargauer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Region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Meister-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schwanden/Tennwil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steht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seit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Mai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2018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anstelle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eines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alten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Bauernhauses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schlechter</w:t>
      </w:r>
      <w:r>
        <w:rPr>
          <w:color w:val="231F20"/>
        </w:rPr>
        <w:t> </w:t>
      </w:r>
      <w:r>
        <w:rPr>
          <w:color w:val="231F20"/>
          <w:spacing w:val="-2"/>
        </w:rPr>
        <w:t>Bausubstanz</w:t>
      </w:r>
      <w:r>
        <w:rPr>
          <w:color w:val="231F20"/>
        </w:rPr>
        <w:t> </w:t>
      </w:r>
      <w:r>
        <w:rPr>
          <w:color w:val="231F20"/>
          <w:spacing w:val="-2"/>
        </w:rPr>
        <w:t>ein</w:t>
      </w:r>
      <w:r>
        <w:rPr>
          <w:color w:val="231F20"/>
        </w:rPr>
        <w:t> </w:t>
      </w:r>
      <w:r>
        <w:rPr>
          <w:color w:val="231F20"/>
          <w:spacing w:val="-2"/>
        </w:rPr>
        <w:t>vorbildlicher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PlusEnergie-Reihenhauskomplex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vier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Wohneinheiten.</w:t>
      </w:r>
      <w:r>
        <w:rPr/>
      </w:r>
    </w:p>
    <w:p>
      <w:pPr>
        <w:pStyle w:val="BodyText"/>
        <w:spacing w:line="230" w:lineRule="exact"/>
        <w:ind w:right="0"/>
        <w:jc w:val="both"/>
      </w:pPr>
      <w:r>
        <w:rPr>
          <w:color w:val="231F20"/>
          <w:spacing w:val="-2"/>
        </w:rPr>
        <w:t>Zusammen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Architekten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ent-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schied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Bauherrin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einen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ökolo-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gischen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Neubau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aus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heimischen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Holz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nachhaltiger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Dämmung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aus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Mineralwolle.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Farb-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Materialwahl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lehnt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sich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ursprünglichen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Bauernhaus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an.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Dies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war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Auflage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Baubehörde.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Neben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Dämmung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sorgen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Komfortlüftung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Wärmerückgewinnungsanlage,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LED-Lampen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sowie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verwendeten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A++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Haushaltsge-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räte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tiefen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Energiebedarf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bloss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19’900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kWh/a.</w:t>
      </w:r>
      <w:r>
        <w:rPr/>
      </w:r>
    </w:p>
    <w:p>
      <w:pPr>
        <w:pStyle w:val="BodyText"/>
        <w:spacing w:line="230" w:lineRule="exact"/>
        <w:ind w:right="9"/>
        <w:jc w:val="both"/>
      </w:pPr>
      <w:r>
        <w:rPr>
          <w:color w:val="231F20"/>
          <w:spacing w:val="-2"/>
        </w:rPr>
        <w:t>Eine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solar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betriebene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Erdsonden-Wärme-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pumpe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liefert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genügend</w:t>
      </w:r>
      <w:r>
        <w:rPr>
          <w:color w:val="231F20"/>
          <w:spacing w:val="-3"/>
        </w:rPr>
        <w:t> Energie </w:t>
      </w:r>
      <w:r>
        <w:rPr>
          <w:color w:val="231F20"/>
          <w:spacing w:val="-2"/>
        </w:rPr>
        <w:t>für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Hei-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zung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Warmwasser.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Fenster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nach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Süden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erhöhen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solare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Passivenergienut-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zung.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PlusEnergie-Reihenhäuser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weisen</w:t>
      </w:r>
      <w:r>
        <w:rPr>
          <w:color w:val="231F20"/>
          <w:spacing w:val="51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bespielhaft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niedrige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Energiekennzahl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23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kWh/m</w:t>
      </w:r>
      <w:r>
        <w:rPr>
          <w:color w:val="231F20"/>
          <w:spacing w:val="-2"/>
          <w:position w:val="6"/>
          <w:sz w:val="10"/>
        </w:rPr>
        <w:t>2</w:t>
      </w:r>
      <w:r>
        <w:rPr>
          <w:color w:val="231F20"/>
          <w:spacing w:val="-2"/>
        </w:rPr>
        <w:t>a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auf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erfüllen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spielend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Minergie-P-Baustandard.</w:t>
      </w:r>
      <w:r>
        <w:rPr/>
      </w:r>
    </w:p>
    <w:p>
      <w:pPr>
        <w:pStyle w:val="BodyText"/>
        <w:spacing w:line="230" w:lineRule="exact"/>
        <w:ind w:right="1"/>
        <w:jc w:val="both"/>
      </w:pPr>
      <w:r>
        <w:rPr>
          <w:color w:val="231F20"/>
          <w:spacing w:val="-2"/>
        </w:rPr>
        <w:t>Die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vorbildlich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auf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südlichen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Sat-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teldach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integrierte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31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starke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PV-Anlage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erzeugt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jährlich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rund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36’600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kWh.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So-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larstrom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kommt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direkt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Bewohnern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zugu-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te.</w:t>
      </w:r>
      <w:r>
        <w:rPr>
          <w:color w:val="231F20"/>
          <w:spacing w:val="-3"/>
        </w:rPr>
        <w:t> </w:t>
      </w:r>
      <w:r>
        <w:rPr>
          <w:color w:val="231F20"/>
        </w:rPr>
        <w:t>Das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PlusEnergie-Mehrfamilienhaus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weist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einen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Solarstromüberschuss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16’700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oder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84%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auf.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Der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Solarstromüber-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schuss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versorgt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Gemeinde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einheimi-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schem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Strom.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Total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könnten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12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Elektrofahr-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zeuge</w:t>
      </w:r>
      <w:r>
        <w:rPr>
          <w:color w:val="231F20"/>
        </w:rPr>
        <w:t> </w:t>
      </w:r>
      <w:r>
        <w:rPr>
          <w:color w:val="231F20"/>
          <w:spacing w:val="-2"/>
        </w:rPr>
        <w:t>jährlich</w:t>
      </w:r>
      <w:r>
        <w:rPr>
          <w:color w:val="231F20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12’000</w:t>
      </w:r>
      <w:r>
        <w:rPr>
          <w:color w:val="231F20"/>
        </w:rPr>
        <w:t> </w:t>
      </w:r>
      <w:r>
        <w:rPr>
          <w:color w:val="231F20"/>
          <w:spacing w:val="-1"/>
        </w:rPr>
        <w:t>km</w:t>
      </w:r>
      <w:r>
        <w:rPr>
          <w:color w:val="231F20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position w:val="-5"/>
          <w:sz w:val="10"/>
          <w:szCs w:val="10"/>
        </w:rPr>
        <w:t>2</w:t>
      </w:r>
      <w:r>
        <w:rPr>
          <w:color w:val="231F20"/>
          <w:spacing w:val="-3"/>
        </w:rPr>
        <w:t>-frei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fahren.</w:t>
      </w:r>
      <w:r>
        <w:rPr>
          <w:color w:val="231F20"/>
          <w:spacing w:val="23"/>
        </w:rPr>
        <w:t> </w:t>
      </w:r>
      <w:r>
        <w:rPr>
          <w:color w:val="231F20"/>
        </w:rPr>
        <w:t>Das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184%-PEB-Reihenhaus</w:t>
      </w:r>
      <w:r>
        <w:rPr>
          <w:color w:val="231F20"/>
          <w:spacing w:val="20"/>
        </w:rPr>
        <w:t> </w:t>
      </w:r>
      <w:r>
        <w:rPr>
          <w:color w:val="231F20"/>
          <w:spacing w:val="-3"/>
        </w:rPr>
        <w:t>verdient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PlusEnergieBau-Solarpreis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2019.</w:t>
      </w:r>
      <w:r>
        <w:rPr/>
      </w:r>
    </w:p>
    <w:p>
      <w:pPr>
        <w:spacing w:line="230" w:lineRule="exact" w:before="52"/>
        <w:ind w:left="106" w:right="5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Dans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région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rurale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Meisterschwanden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(AG),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un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lotissement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BEP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terrasses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exem-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plaire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quatre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appartements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remplace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de-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puis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mai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2018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ancienne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ferme</w:t>
      </w:r>
      <w:r>
        <w:rPr>
          <w:rFonts w:ascii="Theinhardt Regular Italic" w:hAnsi="Theinhardt Regular Italic"/>
          <w:i/>
          <w:color w:val="231F20"/>
          <w:spacing w:val="28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qui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se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délabrait.</w:t>
      </w:r>
      <w:r>
        <w:rPr>
          <w:rFonts w:ascii="Theinhardt Regular Italic" w:hAnsi="Theinhardt Regular Italic"/>
          <w:sz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D’entente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l’architecte,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propriétaire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opté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nouvelle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écolo-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autorités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compé-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tentes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avaient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exigé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couleurs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tériaux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utilisés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conservent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caractère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d’origine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bâtisse.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minérale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durable,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ventilation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flux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récupération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chaleur,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l’éclairage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l’électroménager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majorité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A+++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limiter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besoins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seulement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19’900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pompe à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géothermique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assez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chaude.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Orientées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sud,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fenêtres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aug-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mentent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l’utilisation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passive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l'énergie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présente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faible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indice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dépense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d'énergie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remplit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critères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norme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Mi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7"/>
          <w:sz w:val="18"/>
          <w:szCs w:val="18"/>
        </w:rPr>
        <w:t>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5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Bien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versant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sud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pente,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31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génère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36’600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profite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rectement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habitants.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16’700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84%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alimente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commu-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nauté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locale.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permettrait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douze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lotissement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184%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Meisterschwanden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Prix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2019.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76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93" w:val="left" w:leader="none"/>
          <w:tab w:pos="1788" w:val="left" w:leader="none"/>
          <w:tab w:pos="2664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1"/>
          <w:sz w:val="14"/>
        </w:rPr>
        <w:t>28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5" w:val="left" w:leader="none"/>
          <w:tab w:pos="1788" w:val="left" w:leader="none"/>
          <w:tab w:pos="266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2"/>
          <w:sz w:val="14"/>
        </w:rPr>
        <w:t>24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75" w:val="left" w:leader="none"/>
          <w:tab w:pos="1788" w:val="left" w:leader="none"/>
          <w:tab w:pos="2640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1"/>
          <w:sz w:val="14"/>
        </w:rPr>
        <w:t>0.21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</w:r>
      <w:r>
        <w:rPr>
          <w:rFonts w:ascii="Theinhardt Regular"/>
          <w:color w:val="231F20"/>
          <w:w w:val="95"/>
          <w:sz w:val="14"/>
        </w:rPr>
        <w:t>dreifach</w:t>
        <w:tab/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z w:val="14"/>
        </w:rPr>
        <w:t>0.84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3"/>
          <w:szCs w:val="3"/>
        </w:rPr>
      </w:pPr>
    </w:p>
    <w:tbl>
      <w:tblPr>
        <w:tblW w:w="0" w:type="auto"/>
        <w:jc w:val="left"/>
        <w:tblInd w:w="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808"/>
        <w:gridCol w:w="462"/>
        <w:gridCol w:w="653"/>
      </w:tblGrid>
      <w:tr>
        <w:trPr>
          <w:trHeight w:val="113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852</w:t>
            </w:r>
            <w:r>
              <w:rPr>
                <w:rFonts w:ascii="Theinhardt Regular"/>
                <w:color w:val="231F20"/>
                <w:sz w:val="14"/>
              </w:rPr>
              <w:t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  <w:r>
              <w:rPr>
                <w:rFonts w:ascii="Theinhardt Regular"/>
                <w:sz w:val="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6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9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3" w:lineRule="exact"/>
              <w:ind w:left="19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3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8.4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4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3"/>
                <w:sz w:val="14"/>
                <w:szCs w:val="14"/>
              </w:rPr>
              <w:t>7’157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3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1.6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3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1’356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2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2.8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6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12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2’385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5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10.6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4</w:t>
            </w:r>
            <w:r>
              <w:rPr>
                <w:rFonts w:ascii="Theinhardt Regular"/>
                <w:color w:val="231F20"/>
                <w:sz w:val="14"/>
              </w:rPr>
              <w:t>5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2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8’993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344" w:hRule="exact"/>
        </w:trPr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48" w:lineRule="exact" w:before="32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43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23.4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7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3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19’891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888" w:val="left" w:leader="none"/>
          <w:tab w:pos="1896" w:val="left" w:leader="none"/>
          <w:tab w:pos="2529" w:val="left" w:leader="none"/>
          <w:tab w:pos="2941" w:val="left" w:leader="none"/>
        </w:tabs>
        <w:spacing w:line="160" w:lineRule="exact" w:before="20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PV-Dach: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177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30.6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206.7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184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36’589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10" w:val="left" w:leader="none"/>
          <w:tab w:pos="2930" w:val="left" w:leader="none"/>
        </w:tabs>
        <w:spacing w:line="177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184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36’589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1909" w:val="left" w:leader="none"/>
          <w:tab w:pos="2945" w:val="left" w:leader="none"/>
        </w:tabs>
        <w:spacing w:before="32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4"/>
          <w:szCs w:val="14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4"/>
          <w:szCs w:val="14"/>
        </w:rPr>
        <w:t>Potential*: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354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 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4"/>
          <w:szCs w:val="14"/>
        </w:rPr>
        <w:t>61.2</w:t>
        <w:tab/>
        <w:t>172.3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4"/>
          <w:szCs w:val="14"/>
        </w:rPr>
        <w:t> 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4"/>
          <w:szCs w:val="14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4"/>
          <w:szCs w:val="14"/>
        </w:rPr>
        <w:t>307</w:t>
        <w:tab/>
        <w:t>60’981</w:t>
      </w:r>
      <w:r>
        <w:rPr>
          <w:rFonts w:ascii="Theinhardt Regular Italic" w:hAnsi="Theinhardt Regular Italic" w:cs="Theinhardt Regular Italic" w:eastAsia="Theinhardt Regular Italic"/>
          <w:sz w:val="14"/>
          <w:szCs w:val="14"/>
        </w:rPr>
      </w:r>
    </w:p>
    <w:p>
      <w:pPr>
        <w:tabs>
          <w:tab w:pos="2529" w:val="left" w:leader="none"/>
          <w:tab w:pos="2992" w:val="left" w:leader="none"/>
        </w:tabs>
        <w:spacing w:line="172" w:lineRule="exact"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10" w:val="left" w:leader="none"/>
          <w:tab w:pos="2930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184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36’589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  <w:tab w:pos="295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19’891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89" w:val="left" w:leader="none"/>
          <w:tab w:pos="2934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84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16’698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before="32"/>
        <w:ind w:left="106" w:right="0" w:firstLine="0"/>
        <w:jc w:val="left"/>
        <w:rPr>
          <w:rFonts w:ascii="Theinhardt Regular Italic" w:hAnsi="Theinhardt Regular Italic" w:cs="Theinhardt Regular Italic" w:eastAsia="Theinhardt Regular Italic"/>
          <w:sz w:val="14"/>
          <w:szCs w:val="14"/>
        </w:rPr>
      </w:pPr>
      <w:r>
        <w:rPr>
          <w:rFonts w:ascii="Theinhardt Regular Italic" w:hAnsi="Theinhardt Regular Italic"/>
          <w:i/>
          <w:color w:val="231F20"/>
          <w:spacing w:val="2"/>
          <w:sz w:val="14"/>
        </w:rPr>
        <w:t>*Potential</w:t>
      </w:r>
      <w:r>
        <w:rPr>
          <w:rFonts w:ascii="Theinhardt Regular Italic" w:hAnsi="Theinhardt Regular Italic"/>
          <w:i/>
          <w:color w:val="231F20"/>
          <w:sz w:val="14"/>
        </w:rPr>
        <w:t> </w:t>
      </w:r>
      <w:r>
        <w:rPr>
          <w:rFonts w:ascii="Theinhardt Regular Italic" w:hAnsi="Theinhardt Regular Italic"/>
          <w:i/>
          <w:color w:val="231F20"/>
          <w:spacing w:val="2"/>
          <w:sz w:val="14"/>
        </w:rPr>
        <w:t>Dachfläche</w:t>
      </w:r>
      <w:r>
        <w:rPr>
          <w:rFonts w:ascii="Theinhardt Regular Italic" w:hAnsi="Theinhardt Regular Italic"/>
          <w:sz w:val="14"/>
        </w:rPr>
      </w:r>
    </w:p>
    <w:p>
      <w:pPr>
        <w:spacing w:line="160" w:lineRule="exact" w:before="96"/>
        <w:ind w:left="106" w:right="48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AEW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Energie</w:t>
      </w:r>
      <w:r>
        <w:rPr>
          <w:rFonts w:ascii="Theinhardt Bold" w:hAnsi="Theinhardt Bold"/>
          <w:b/>
          <w:color w:val="231F20"/>
          <w:sz w:val="14"/>
        </w:rPr>
        <w:t> AG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02.07.2019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von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Peter</w:t>
      </w:r>
      <w:r>
        <w:rPr>
          <w:rFonts w:ascii="Theinhardt Regular" w:hAnsi="Theinhardt Regular"/>
          <w:color w:val="231F20"/>
          <w:sz w:val="14"/>
        </w:rPr>
        <w:t> Zellner,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62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834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40</w:t>
      </w:r>
      <w:r>
        <w:rPr>
          <w:rFonts w:ascii="Theinhardt Regular" w:hAnsi="Theinhardt Regular"/>
          <w:sz w:val="14"/>
        </w:rPr>
      </w:r>
    </w:p>
    <w:p>
      <w:pPr>
        <w:spacing w:before="10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Rütigasse</w:t>
      </w:r>
      <w:r>
        <w:rPr>
          <w:rFonts w:ascii="Theinhardt Regular" w:hAnsi="Theinhardt Regular"/>
          <w:color w:val="231F20"/>
          <w:sz w:val="14"/>
        </w:rPr>
        <w:t> 2, 4 + 6, </w:t>
      </w:r>
      <w:r>
        <w:rPr>
          <w:rFonts w:ascii="Theinhardt Regular" w:hAnsi="Theinhardt Regular"/>
          <w:color w:val="231F20"/>
          <w:spacing w:val="-3"/>
          <w:sz w:val="14"/>
        </w:rPr>
        <w:t>5616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Meisterschwanden/Tennwil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Realisation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Setz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Architektur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Obermatt</w:t>
      </w:r>
      <w:r>
        <w:rPr>
          <w:rFonts w:ascii="Theinhardt Regular"/>
          <w:color w:val="231F20"/>
          <w:sz w:val="14"/>
        </w:rPr>
        <w:t> 33, </w:t>
      </w:r>
      <w:r>
        <w:rPr>
          <w:rFonts w:ascii="Theinhardt Regular"/>
          <w:color w:val="231F20"/>
          <w:spacing w:val="-4"/>
          <w:sz w:val="14"/>
        </w:rPr>
        <w:t>5102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Rupperswil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889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> 60</w:t>
      </w:r>
      <w:hyperlink r:id="rId5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info@setz-architektur.ch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PV-Anlage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BE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Netz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Luzernerstrasse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131,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6014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Luzern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319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00</w:t>
      </w:r>
      <w:hyperlink r:id="rId6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info@benetz.ch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HLK-Planung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Poly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Team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Wildischachenstrasse</w:t>
      </w:r>
      <w:r>
        <w:rPr>
          <w:rFonts w:ascii="Theinhardt Regular"/>
          <w:color w:val="231F20"/>
          <w:sz w:val="14"/>
        </w:rPr>
        <w:t> 36, 5200 </w:t>
      </w:r>
      <w:r>
        <w:rPr>
          <w:rFonts w:ascii="Theinhardt Regular"/>
          <w:color w:val="231F20"/>
          <w:spacing w:val="2"/>
          <w:sz w:val="14"/>
        </w:rPr>
        <w:t>Brugg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56 </w:t>
      </w:r>
      <w:r>
        <w:rPr>
          <w:rFonts w:ascii="Theinhardt Regular"/>
          <w:color w:val="231F20"/>
          <w:spacing w:val="-2"/>
          <w:sz w:val="14"/>
        </w:rPr>
        <w:t>441</w:t>
      </w:r>
      <w:r>
        <w:rPr>
          <w:rFonts w:ascii="Theinhardt Regular"/>
          <w:color w:val="231F20"/>
          <w:sz w:val="14"/>
        </w:rPr>
        <w:t> 96 </w:t>
      </w:r>
      <w:r>
        <w:rPr>
          <w:rFonts w:ascii="Theinhardt Regular"/>
          <w:color w:val="231F20"/>
          <w:spacing w:val="-4"/>
          <w:sz w:val="14"/>
        </w:rPr>
        <w:t>21</w:t>
      </w:r>
      <w:hyperlink r:id="rId7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info@polyteam.ch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Holzbau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Renggli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Gläng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16,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6247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Schötz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pict>
          <v:group style="position:absolute;margin-left:385.511902pt;margin-top:10.421994pt;width:167.25pt;height:.45pt;mso-position-horizontal-relative:page;mso-position-vertical-relative:paragraph;z-index:1168" coordorigin="7710,208" coordsize="3345,9">
            <v:group style="position:absolute;left:7732;top:213;width:3311;height:2" coordorigin="7732,213" coordsize="3311,2">
              <v:shape style="position:absolute;left:7732;top:213;width:3311;height:2" coordorigin="7732,213" coordsize="3311,0" path="m7732,213l11042,213e" filled="false" stroked="true" strokeweight=".425pt" strokecolor="#231f20">
                <v:path arrowok="t"/>
                <v:stroke dashstyle="dash"/>
              </v:shape>
            </v:group>
            <v:group style="position:absolute;left:7714;top:213;width:2;height:2" coordorigin="7714,213" coordsize="2,2">
              <v:shape style="position:absolute;left:7714;top:213;width:2;height:2" coordorigin="7714,213" coordsize="0,0" path="m7714,213l7714,213e" filled="false" stroked="true" strokeweight=".425pt" strokecolor="#231f20">
                <v:path arrowok="t"/>
              </v:shape>
            </v:group>
            <v:group style="position:absolute;left:11051;top:213;width:2;height:2" coordorigin="11051,213" coordsize="2,2">
              <v:shape style="position:absolute;left:11051;top:213;width:2;height:2" coordorigin="11051,213" coordsize="0,0" path="m11051,213l11051,213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</w:t>
      </w:r>
      <w:hyperlink r:id="rId8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mail@renggli.swiss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60" w:space="112"/>
            <w:col w:w="3567"/>
          </w:cols>
        </w:sect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3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44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8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8083" cy="42885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083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8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75" w:val="left" w:leader="none"/>
        </w:tabs>
        <w:spacing w:line="200" w:lineRule="atLeast"/>
        <w:ind w:left="118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59010" cy="2392679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010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54858" cy="238963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858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75" w:val="left" w:leader="none"/>
        </w:tabs>
        <w:spacing w:before="14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5"/>
          <w:szCs w:val="15"/>
        </w:rPr>
        <w:sectPr>
          <w:pgSz w:w="11910" w:h="16840"/>
          <w:pgMar w:top="860" w:bottom="280" w:left="720" w:right="460"/>
        </w:sectPr>
      </w:pPr>
    </w:p>
    <w:p>
      <w:pPr>
        <w:numPr>
          <w:ilvl w:val="0"/>
          <w:numId w:val="1"/>
        </w:numPr>
        <w:tabs>
          <w:tab w:pos="353" w:val="left" w:leader="none"/>
        </w:tabs>
        <w:spacing w:line="160" w:lineRule="exact" w:before="76"/>
        <w:ind w:left="35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Die Reihenhaus-Anlage in Meisterschwanden/</w:t>
      </w:r>
      <w:r>
        <w:rPr>
          <w:rFonts w:ascii="Theinhardt Bold" w:hAnsi="Theinhardt Bold"/>
          <w:b/>
          <w:color w:val="231F20"/>
          <w:spacing w:val="24"/>
          <w:sz w:val="14"/>
        </w:rPr>
        <w:t> </w:t>
      </w:r>
      <w:r>
        <w:rPr>
          <w:rFonts w:ascii="Theinhardt Bold" w:hAnsi="Theinhardt Bold"/>
          <w:b/>
          <w:color w:val="231F20"/>
          <w:spacing w:val="-2"/>
          <w:sz w:val="14"/>
        </w:rPr>
        <w:t>Tennwil</w:t>
      </w:r>
      <w:r>
        <w:rPr>
          <w:rFonts w:ascii="Theinhardt Bold" w:hAnsi="Theinhardt Bold"/>
          <w:b/>
          <w:color w:val="231F20"/>
          <w:sz w:val="14"/>
        </w:rPr>
        <w:t> ersetzte ein baufälliges Bauernhaus und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fügt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z w:val="14"/>
        </w:rPr>
        <w:t> elegant in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> Umgebung ein.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53" w:val="left" w:leader="none"/>
        </w:tabs>
        <w:spacing w:line="160" w:lineRule="exact" w:before="76"/>
        <w:ind w:left="353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grossen</w:t>
      </w:r>
      <w:r>
        <w:rPr>
          <w:rFonts w:ascii="Theinhardt Bold" w:hAnsi="Theinhardt Bold"/>
          <w:b/>
          <w:color w:val="231F20"/>
          <w:sz w:val="14"/>
        </w:rPr>
        <w:t> und im Sommer teilweise </w:t>
      </w:r>
      <w:r>
        <w:rPr>
          <w:rFonts w:ascii="Theinhardt Bold" w:hAnsi="Theinhardt Bold"/>
          <w:b/>
          <w:color w:val="231F20"/>
          <w:spacing w:val="-1"/>
          <w:sz w:val="14"/>
        </w:rPr>
        <w:t>verschat-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teten </w:t>
      </w:r>
      <w:r>
        <w:rPr>
          <w:rFonts w:ascii="Theinhardt Bold" w:hAnsi="Theinhardt Bold"/>
          <w:b/>
          <w:color w:val="231F20"/>
          <w:spacing w:val="-1"/>
          <w:sz w:val="14"/>
        </w:rPr>
        <w:t>Fenster</w:t>
      </w:r>
      <w:r>
        <w:rPr>
          <w:rFonts w:ascii="Theinhardt Bold" w:hAnsi="Theinhardt Bold"/>
          <w:b/>
          <w:color w:val="231F20"/>
          <w:sz w:val="14"/>
        </w:rPr>
        <w:t> ermöglichen eine </w:t>
      </w:r>
      <w:r>
        <w:rPr>
          <w:rFonts w:ascii="Theinhardt Bold" w:hAnsi="Theinhardt Bold"/>
          <w:b/>
          <w:color w:val="231F20"/>
          <w:spacing w:val="-1"/>
          <w:sz w:val="14"/>
        </w:rPr>
        <w:t>höhere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solare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Passivnutzung ohne Überhitzung im </w:t>
      </w:r>
      <w:r>
        <w:rPr>
          <w:rFonts w:ascii="Theinhardt Bold" w:hAnsi="Theinhardt Bold"/>
          <w:b/>
          <w:color w:val="231F20"/>
          <w:spacing w:val="-2"/>
          <w:sz w:val="14"/>
        </w:rPr>
        <w:t>Sommer.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53" w:val="left" w:leader="none"/>
        </w:tabs>
        <w:spacing w:line="160" w:lineRule="exact" w:before="76"/>
        <w:ind w:left="353" w:right="14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rund 36’600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5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kWh.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20" w:right="460"/>
          <w:cols w:num="3" w:equalWidth="0">
            <w:col w:w="3451" w:space="121"/>
            <w:col w:w="3397" w:space="175"/>
            <w:col w:w="3586"/>
          </w:cols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8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45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53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6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7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info@setz-architektur.ch" TargetMode="External"/><Relationship Id="rId6" Type="http://schemas.openxmlformats.org/officeDocument/2006/relationships/hyperlink" Target="mailto:info@benetz.ch" TargetMode="External"/><Relationship Id="rId7" Type="http://schemas.openxmlformats.org/officeDocument/2006/relationships/hyperlink" Target="mailto:info@polyteam.ch" TargetMode="External"/><Relationship Id="rId8" Type="http://schemas.openxmlformats.org/officeDocument/2006/relationships/hyperlink" Target="mailto:mail@renggli.swiss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2019-10-03T16:24:13Z</dcterms:created>
  <dcterms:modified xsi:type="dcterms:W3CDTF">2019-10-03T16:24:13Z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