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Heavy" w:hAnsi="Theinhardt Heavy" w:cs="Theinhardt Heavy" w:eastAsia="Theinhardt Heavy"/>
          <w:b w:val="0"/>
          <w:bCs w:val="0"/>
        </w:rPr>
      </w:pPr>
      <w:r>
        <w:rPr/>
        <w:pict>
          <v:group style="position:absolute;margin-left:28.559pt;margin-top:13.647203pt;width:.1pt;height:.1pt;mso-position-horizontal-relative:page;mso-position-vertical-relative:paragraph;z-index:-5512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203pt;width:.1pt;height:.1pt;mso-position-horizontal-relative:page;mso-position-vertical-relative:paragraph;z-index:1192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u w:val="dotted" w:color="231F20"/>
        </w:rPr>
        <w:t>Kategorie A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spacing w:val="24"/>
        </w:rPr>
        <w:t> </w:t>
      </w:r>
      <w:r>
        <w:rPr>
          <w:rFonts w:ascii="Theinhardt Heavy"/>
          <w:b/>
          <w:color w:val="231F20"/>
        </w:rPr>
        <w:t>Institutionen</w:t>
      </w:r>
      <w:r>
        <w:rPr>
          <w:rFonts w:ascii="Theinhardt Heavy"/>
          <w:b w:val="0"/>
        </w:rPr>
      </w:r>
    </w:p>
    <w:p>
      <w:pPr>
        <w:spacing w:line="20" w:lineRule="atLeast"/>
        <w:ind w:left="106" w:right="0" w:firstLine="0"/>
        <w:rPr>
          <w:rFonts w:ascii="Theinhardt Heavy" w:hAnsi="Theinhardt Heavy" w:cs="Theinhardt Heavy" w:eastAsia="Theinhardt Heavy"/>
          <w:sz w:val="2"/>
          <w:szCs w:val="2"/>
        </w:rPr>
      </w:pPr>
      <w:r>
        <w:rPr>
          <w:rFonts w:ascii="Theinhardt Heavy" w:hAnsi="Theinhardt Heavy" w:cs="Theinhardt Heavy" w:eastAsia="Theinhardt Heavy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 w:hAnsi="Theinhardt Heavy" w:cs="Theinhardt Heavy" w:eastAsia="Theinhardt Heavy"/>
          <w:sz w:val="2"/>
          <w:szCs w:val="2"/>
        </w:rPr>
      </w:r>
    </w:p>
    <w:p>
      <w:pPr>
        <w:pStyle w:val="Heading2"/>
        <w:spacing w:line="240" w:lineRule="auto"/>
        <w:ind w:right="0"/>
        <w:jc w:val="left"/>
      </w:pPr>
      <w:r>
        <w:rPr>
          <w:spacing w:val="-1"/>
        </w:rPr>
        <w:t>Schweizer</w:t>
      </w:r>
      <w:r>
        <w:rPr/>
        <w:t> </w:t>
      </w:r>
      <w:r>
        <w:rPr>
          <w:spacing w:val="-1"/>
        </w:rPr>
        <w:t>Solarpreis</w:t>
      </w:r>
      <w:r>
        <w:rPr/>
        <w:t> 2019</w:t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Tarcisi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Maissen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Trun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setzt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seit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Firmengründung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1946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nachhaltig-</w:t>
      </w:r>
      <w:r>
        <w:rPr>
          <w:rFonts w:ascii="Theinhardt Bold" w:hAnsi="Theinhardt Bold" w:cs="Theinhardt Bold" w:eastAsia="Theinhardt Bold"/>
          <w:b/>
          <w:bCs/>
          <w:color w:val="231F20"/>
          <w:spacing w:val="5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ökologischen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Umgang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Ressourcen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ein.</w:t>
      </w:r>
      <w:r>
        <w:rPr>
          <w:rFonts w:ascii="Theinhardt Bold" w:hAnsi="Theinhardt Bold" w:cs="Theinhardt Bold" w:eastAsia="Theinhardt Bold"/>
          <w:b/>
          <w:bCs/>
          <w:color w:val="231F20"/>
          <w:spacing w:val="-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verwendet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ausschliesslich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einheimische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Rohstoffe</w:t>
      </w:r>
      <w:r>
        <w:rPr>
          <w:rFonts w:ascii="Theinhardt Bold" w:hAnsi="Theinhardt Bold" w:cs="Theinhardt Bold" w:eastAsia="Theinhardt Bold"/>
          <w:b/>
          <w:bCs/>
          <w:color w:val="231F20"/>
          <w:spacing w:val="6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wie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Holz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zum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Bauen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Speckstein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«Tavetscher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Öfen»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zum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Heizen.</w:t>
      </w:r>
      <w:r>
        <w:rPr>
          <w:rFonts w:ascii="Theinhardt Bold" w:hAnsi="Theinhardt Bold" w:cs="Theinhardt Bold" w:eastAsia="Theinhardt Bold"/>
          <w:b/>
          <w:bCs/>
          <w:color w:val="231F20"/>
          <w:spacing w:val="-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Solarstromproduktion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konsequente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Fortsetzung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dieser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nachhaltigen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Philosophie.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Firma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Maissen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ca.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55</w:t>
      </w:r>
      <w:r>
        <w:rPr>
          <w:rFonts w:ascii="Theinhardt Bold" w:hAnsi="Theinhardt Bold" w:cs="Theinhardt Bold" w:eastAsia="Theinhardt Bold"/>
          <w:b/>
          <w:bCs/>
          <w:color w:val="231F20"/>
          <w:spacing w:val="6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Mitarbeiter/innen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benötigt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256’000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ca.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517’600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Solar-</w:t>
      </w:r>
      <w:r>
        <w:rPr>
          <w:rFonts w:ascii="Theinhardt Bold" w:hAnsi="Theinhardt Bold" w:cs="Theinhardt Bold" w:eastAsia="Theinhardt Bold"/>
          <w:b/>
          <w:bCs/>
          <w:color w:val="231F20"/>
          <w:spacing w:val="6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strom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gewinnt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Abfallholz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760’000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Wärmeenergie.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Über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260’000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So-</w:t>
      </w:r>
      <w:r>
        <w:rPr>
          <w:rFonts w:ascii="Theinhardt Bold" w:hAnsi="Theinhardt Bold" w:cs="Theinhardt Bold" w:eastAsia="Theinhardt Bold"/>
          <w:b/>
          <w:bCs/>
          <w:color w:val="231F20"/>
          <w:spacing w:val="4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larstrom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speist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öffentliche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Netz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beheizt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Fernwärme-Energieüberschuss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ca.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81’800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zwei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Nachbarbauten.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-neutrale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Firma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zeigt,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wie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auch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grössere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Betriebe</w:t>
      </w:r>
      <w:r>
        <w:rPr>
          <w:rFonts w:ascii="Theinhardt Bold" w:hAnsi="Theinhardt Bold" w:cs="Theinhardt Bold" w:eastAsia="Theinhardt Bold"/>
          <w:b/>
          <w:bCs/>
          <w:color w:val="231F20"/>
          <w:spacing w:val="6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Energiewende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schaffen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Pariser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Klimaabkommen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umsetzen.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8"/>
          <w:szCs w:val="28"/>
        </w:rPr>
      </w:pPr>
    </w:p>
    <w:p>
      <w:pPr>
        <w:spacing w:before="15"/>
        <w:ind w:left="106" w:right="0" w:firstLine="0"/>
        <w:jc w:val="left"/>
        <w:rPr>
          <w:rFonts w:ascii="Theinhardt Black" w:hAnsi="Theinhardt Black" w:cs="Theinhardt Black" w:eastAsia="Theinhardt Black"/>
          <w:sz w:val="36"/>
          <w:szCs w:val="36"/>
        </w:rPr>
      </w:pPr>
      <w:r>
        <w:rPr>
          <w:rFonts w:ascii="Theinhardt Black"/>
          <w:b/>
          <w:color w:val="0067B1"/>
          <w:spacing w:val="-4"/>
          <w:sz w:val="36"/>
        </w:rPr>
        <w:t>202%-PEB-Unternehmung</w:t>
      </w:r>
      <w:r>
        <w:rPr>
          <w:rFonts w:ascii="Theinhardt Black"/>
          <w:b/>
          <w:color w:val="0067B1"/>
          <w:spacing w:val="-8"/>
          <w:sz w:val="36"/>
        </w:rPr>
        <w:t> </w:t>
      </w:r>
      <w:r>
        <w:rPr>
          <w:rFonts w:ascii="Theinhardt Black"/>
          <w:b/>
          <w:color w:val="0067B1"/>
          <w:spacing w:val="-6"/>
          <w:sz w:val="36"/>
        </w:rPr>
        <w:t>Tarcisi</w:t>
      </w:r>
      <w:r>
        <w:rPr>
          <w:rFonts w:ascii="Theinhardt Black"/>
          <w:b/>
          <w:color w:val="0067B1"/>
          <w:spacing w:val="-8"/>
          <w:sz w:val="36"/>
        </w:rPr>
        <w:t> </w:t>
      </w:r>
      <w:r>
        <w:rPr>
          <w:rFonts w:ascii="Theinhardt Black"/>
          <w:b/>
          <w:color w:val="0067B1"/>
          <w:spacing w:val="-2"/>
          <w:sz w:val="36"/>
        </w:rPr>
        <w:t>Maissen</w:t>
      </w:r>
      <w:r>
        <w:rPr>
          <w:rFonts w:ascii="Theinhardt Black"/>
          <w:b/>
          <w:color w:val="0067B1"/>
          <w:spacing w:val="-8"/>
          <w:sz w:val="36"/>
        </w:rPr>
        <w:t> </w:t>
      </w:r>
      <w:r>
        <w:rPr>
          <w:rFonts w:ascii="Theinhardt Black"/>
          <w:b/>
          <w:color w:val="0067B1"/>
          <w:spacing w:val="-2"/>
          <w:sz w:val="36"/>
        </w:rPr>
        <w:t>SA,</w:t>
      </w:r>
      <w:r>
        <w:rPr>
          <w:rFonts w:ascii="Theinhardt Black"/>
          <w:b/>
          <w:color w:val="0067B1"/>
          <w:spacing w:val="-8"/>
          <w:sz w:val="36"/>
        </w:rPr>
        <w:t> </w:t>
      </w:r>
      <w:r>
        <w:rPr>
          <w:rFonts w:ascii="Theinhardt Black"/>
          <w:b/>
          <w:color w:val="0067B1"/>
          <w:spacing w:val="-10"/>
          <w:sz w:val="36"/>
        </w:rPr>
        <w:t>7166</w:t>
      </w:r>
      <w:r>
        <w:rPr>
          <w:rFonts w:ascii="Theinhardt Black"/>
          <w:b/>
          <w:color w:val="0067B1"/>
          <w:spacing w:val="-8"/>
          <w:sz w:val="36"/>
        </w:rPr>
        <w:t> </w:t>
      </w:r>
      <w:r>
        <w:rPr>
          <w:rFonts w:ascii="Theinhardt Black"/>
          <w:b/>
          <w:color w:val="0067B1"/>
          <w:spacing w:val="-11"/>
          <w:sz w:val="36"/>
        </w:rPr>
        <w:t>Trun/GR</w:t>
      </w:r>
      <w:r>
        <w:rPr>
          <w:rFonts w:ascii="Theinhardt Black"/>
          <w:sz w:val="36"/>
        </w:rPr>
      </w:r>
    </w:p>
    <w:p>
      <w:pPr>
        <w:spacing w:line="240" w:lineRule="auto" w:before="2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2"/>
        <w:spacing w:line="230" w:lineRule="exact" w:before="74"/>
        <w:ind w:right="0"/>
        <w:jc w:val="both"/>
      </w:pP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70-jähriger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Tradition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nutzt</w:t>
      </w:r>
      <w:r>
        <w:rPr>
          <w:color w:val="231F20"/>
          <w:spacing w:val="19"/>
        </w:rPr>
        <w:t> </w:t>
      </w:r>
      <w:r>
        <w:rPr>
          <w:color w:val="231F20"/>
        </w:rPr>
        <w:t>der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Familien-</w:t>
      </w:r>
      <w:r>
        <w:rPr>
          <w:color w:val="231F20"/>
          <w:spacing w:val="51"/>
        </w:rPr>
        <w:t> </w:t>
      </w:r>
      <w:r>
        <w:rPr>
          <w:color w:val="231F20"/>
        </w:rPr>
        <w:t>betrieb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Tarcisi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Maissen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SA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Trun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am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Vorderrhein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einheimische</w:t>
      </w:r>
      <w:r>
        <w:rPr>
          <w:color w:val="231F20"/>
          <w:spacing w:val="-7"/>
        </w:rPr>
        <w:t> </w:t>
      </w:r>
      <w:r>
        <w:rPr>
          <w:color w:val="231F20"/>
        </w:rPr>
        <w:t>Rohstoffe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seit</w:t>
      </w:r>
      <w:r>
        <w:rPr>
          <w:color w:val="231F20"/>
          <w:spacing w:val="-7"/>
        </w:rPr>
        <w:t> </w:t>
      </w:r>
      <w:r>
        <w:rPr>
          <w:color w:val="231F20"/>
        </w:rPr>
        <w:t>8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Jahren</w:t>
      </w:r>
      <w:r>
        <w:rPr>
          <w:color w:val="231F20"/>
          <w:spacing w:val="23"/>
        </w:rPr>
        <w:t> </w:t>
      </w:r>
      <w:r>
        <w:rPr>
          <w:color w:val="231F20"/>
        </w:rPr>
        <w:t>auch</w:t>
      </w:r>
      <w:r>
        <w:rPr>
          <w:color w:val="231F20"/>
          <w:spacing w:val="23"/>
        </w:rPr>
        <w:t> </w:t>
      </w:r>
      <w:r>
        <w:rPr>
          <w:color w:val="231F20"/>
        </w:rPr>
        <w:t>eigens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produzierte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Solarener-</w:t>
      </w:r>
      <w:r>
        <w:rPr>
          <w:color w:val="231F20"/>
          <w:spacing w:val="29"/>
        </w:rPr>
        <w:t> </w:t>
      </w:r>
      <w:r>
        <w:rPr>
          <w:color w:val="231F20"/>
        </w:rPr>
        <w:t>gie.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Zwischen</w:t>
      </w:r>
      <w:r>
        <w:rPr>
          <w:color w:val="231F20"/>
          <w:spacing w:val="18"/>
        </w:rPr>
        <w:t> </w:t>
      </w:r>
      <w:r>
        <w:rPr>
          <w:color w:val="231F20"/>
        </w:rPr>
        <w:t>2012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</w:rPr>
        <w:t>2019</w:t>
      </w:r>
      <w:r>
        <w:rPr>
          <w:color w:val="231F20"/>
          <w:spacing w:val="18"/>
        </w:rPr>
        <w:t> </w:t>
      </w:r>
      <w:r>
        <w:rPr>
          <w:color w:val="231F20"/>
        </w:rPr>
        <w:t>installierte</w:t>
      </w:r>
      <w:r>
        <w:rPr>
          <w:color w:val="231F20"/>
          <w:spacing w:val="21"/>
        </w:rPr>
        <w:t> </w:t>
      </w:r>
      <w:r>
        <w:rPr>
          <w:color w:val="231F20"/>
        </w:rPr>
        <w:t>die </w:t>
      </w:r>
      <w:r>
        <w:rPr>
          <w:color w:val="231F20"/>
          <w:spacing w:val="-1"/>
        </w:rPr>
        <w:t>Holzbauunternehmung</w:t>
      </w:r>
      <w:r>
        <w:rPr>
          <w:color w:val="231F20"/>
        </w:rPr>
        <w:t> auf </w:t>
      </w:r>
      <w:r>
        <w:rPr>
          <w:color w:val="231F20"/>
          <w:spacing w:val="-1"/>
        </w:rPr>
        <w:t>sechs</w:t>
      </w:r>
      <w:r>
        <w:rPr>
          <w:color w:val="231F20"/>
        </w:rPr>
        <w:t> Be-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triebsgebäuden</w:t>
      </w:r>
      <w:r>
        <w:rPr>
          <w:color w:val="231F20"/>
          <w:spacing w:val="28"/>
        </w:rPr>
        <w:t> </w:t>
      </w:r>
      <w:r>
        <w:rPr>
          <w:color w:val="231F20"/>
        </w:rPr>
        <w:t>eine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Ost-Süd-West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ausge-</w:t>
      </w:r>
      <w:r>
        <w:rPr>
          <w:color w:val="231F20"/>
          <w:spacing w:val="37"/>
        </w:rPr>
        <w:t> </w:t>
      </w:r>
      <w:r>
        <w:rPr>
          <w:color w:val="231F20"/>
        </w:rPr>
        <w:t>richtete</w:t>
      </w:r>
      <w:r>
        <w:rPr>
          <w:color w:val="231F20"/>
          <w:spacing w:val="7"/>
        </w:rPr>
        <w:t> </w:t>
      </w:r>
      <w:r>
        <w:rPr>
          <w:color w:val="231F20"/>
        </w:rPr>
        <w:t>674</w:t>
      </w:r>
      <w:r>
        <w:rPr>
          <w:color w:val="231F20"/>
          <w:spacing w:val="7"/>
        </w:rPr>
        <w:t> </w:t>
      </w:r>
      <w:r>
        <w:rPr>
          <w:color w:val="231F20"/>
        </w:rPr>
        <w:t>kW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PV-Dachanlage.</w:t>
      </w:r>
      <w:r>
        <w:rPr>
          <w:color w:val="231F20"/>
          <w:spacing w:val="-4"/>
        </w:rPr>
        <w:t> </w:t>
      </w:r>
      <w:r>
        <w:rPr>
          <w:color w:val="231F20"/>
        </w:rPr>
        <w:t>Sie</w:t>
      </w:r>
      <w:r>
        <w:rPr>
          <w:color w:val="231F20"/>
          <w:spacing w:val="28"/>
        </w:rPr>
        <w:t> </w:t>
      </w:r>
      <w:r>
        <w:rPr>
          <w:color w:val="231F20"/>
        </w:rPr>
        <w:t>erzeugt ca.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517’600</w:t>
      </w:r>
      <w:r>
        <w:rPr>
          <w:color w:val="231F20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</w:rPr>
        <w:t> </w:t>
      </w:r>
      <w:r>
        <w:rPr>
          <w:color w:val="231F20"/>
          <w:spacing w:val="-1"/>
        </w:rPr>
        <w:t>Solarstrom</w:t>
      </w:r>
      <w:r>
        <w:rPr>
          <w:color w:val="231F20"/>
        </w:rPr>
        <w:t> und</w:t>
      </w:r>
      <w:r>
        <w:rPr>
          <w:color w:val="231F20"/>
          <w:spacing w:val="22"/>
        </w:rPr>
        <w:t> </w:t>
      </w:r>
      <w:r>
        <w:rPr>
          <w:color w:val="231F20"/>
        </w:rPr>
        <w:t>deckt</w:t>
      </w:r>
      <w:r>
        <w:rPr>
          <w:color w:val="231F20"/>
          <w:spacing w:val="-8"/>
        </w:rPr>
        <w:t> </w:t>
      </w:r>
      <w:r>
        <w:rPr>
          <w:color w:val="231F20"/>
        </w:rPr>
        <w:t>den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Strombedarf</w:t>
      </w:r>
      <w:r>
        <w:rPr>
          <w:color w:val="231F20"/>
          <w:spacing w:val="-8"/>
        </w:rPr>
        <w:t> </w:t>
      </w:r>
      <w:r>
        <w:rPr>
          <w:color w:val="231F20"/>
        </w:rPr>
        <w:t>von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256’300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kWh/a</w:t>
      </w:r>
      <w:r>
        <w:rPr/>
      </w:r>
    </w:p>
    <w:p>
      <w:pPr>
        <w:pStyle w:val="BodyText"/>
        <w:spacing w:line="230" w:lineRule="exact" w:before="74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plus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septante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ans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d’existence,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Tarcisi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Maissen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SA,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Trun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(GR),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toujours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privilégié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matières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premières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locales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consomme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désormais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sa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propre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énergie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solaire.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2012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2019,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l’entreprise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familiale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const-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ruction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bois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équipé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toits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six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bâtiments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d’une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infrastructure</w:t>
      </w:r>
      <w:r>
        <w:rPr>
          <w:color w:val="231F20"/>
          <w:spacing w:val="17"/>
        </w:rPr>
        <w:t> </w:t>
      </w:r>
      <w:r>
        <w:rPr>
          <w:color w:val="231F20"/>
        </w:rPr>
        <w:t>PV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674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kW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orientée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est-sud-ouest.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Elle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génère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ainsi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517’600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consomme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256’300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kWh/a,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soit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une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autoproduction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202%.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Le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courant</w:t>
      </w:r>
      <w:r>
        <w:rPr>
          <w:i w:val="0"/>
        </w:rPr>
      </w:r>
    </w:p>
    <w:p>
      <w:pPr>
        <w:spacing w:before="6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Zur</w:t>
      </w:r>
      <w:r>
        <w:rPr>
          <w:rFonts w:ascii="Theinhardt Black"/>
          <w:b/>
          <w:color w:val="231F20"/>
          <w:spacing w:val="-9"/>
          <w:sz w:val="14"/>
        </w:rPr>
        <w:t> </w:t>
      </w:r>
      <w:r>
        <w:rPr>
          <w:rFonts w:ascii="Theinhardt Black"/>
          <w:b/>
          <w:color w:val="231F20"/>
          <w:sz w:val="14"/>
        </w:rPr>
        <w:t>Tarcisi </w:t>
      </w:r>
      <w:r>
        <w:rPr>
          <w:rFonts w:ascii="Theinhardt Black"/>
          <w:b/>
          <w:color w:val="231F20"/>
          <w:spacing w:val="1"/>
          <w:sz w:val="14"/>
        </w:rPr>
        <w:t>Maissen</w:t>
      </w:r>
      <w:r>
        <w:rPr>
          <w:rFonts w:ascii="Theinhardt Black"/>
          <w:b/>
          <w:color w:val="231F20"/>
          <w:sz w:val="14"/>
        </w:rPr>
        <w:t> SA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1946: </w:t>
      </w:r>
      <w:r>
        <w:rPr>
          <w:rFonts w:ascii="Theinhardt Bold" w:hAnsi="Theinhardt Bold"/>
          <w:b/>
          <w:color w:val="231F20"/>
          <w:spacing w:val="5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Gründung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Einzelfi</w:t>
      </w:r>
      <w:r>
        <w:rPr>
          <w:rFonts w:ascii="Theinhardt Regular" w:hAnsi="Theinhardt Regular"/>
          <w:color w:val="231F20"/>
          <w:spacing w:val="1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ma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0"/>
        <w:ind w:left="56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Tarcisi </w:t>
      </w:r>
      <w:r>
        <w:rPr>
          <w:rFonts w:ascii="Theinhardt Regular"/>
          <w:color w:val="231F20"/>
          <w:spacing w:val="1"/>
          <w:sz w:val="14"/>
        </w:rPr>
        <w:t>Maissen,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resgia</w:t>
      </w:r>
      <w:r>
        <w:rPr>
          <w:rFonts w:ascii="Theinhardt Regular"/>
          <w:color w:val="231F20"/>
          <w:sz w:val="14"/>
        </w:rPr>
        <w:t> e </w:t>
      </w:r>
      <w:r>
        <w:rPr>
          <w:rFonts w:ascii="Theinhardt Regular"/>
          <w:color w:val="231F20"/>
          <w:spacing w:val="2"/>
          <w:sz w:val="14"/>
        </w:rPr>
        <w:t>scrinaria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560" w:right="739" w:hanging="454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1989: </w:t>
      </w:r>
      <w:r>
        <w:rPr>
          <w:rFonts w:ascii="Theinhardt Bold"/>
          <w:b/>
          <w:color w:val="231F20"/>
          <w:spacing w:val="5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Umwandlung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Einzelfirma</w:t>
      </w:r>
      <w:r>
        <w:rPr>
          <w:rFonts w:ascii="Theinhardt Regular"/>
          <w:color w:val="231F20"/>
          <w:sz w:val="14"/>
        </w:rPr>
        <w:t> in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z w:val="14"/>
        </w:rPr>
        <w:t>Tarcisi </w:t>
      </w:r>
      <w:r>
        <w:rPr>
          <w:rFonts w:ascii="Theinhardt Regular"/>
          <w:color w:val="231F20"/>
          <w:spacing w:val="2"/>
          <w:sz w:val="14"/>
        </w:rPr>
        <w:t>Maissen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</w:t>
      </w:r>
      <w:r>
        <w:rPr>
          <w:rFonts w:ascii="Theinhardt Regular"/>
          <w:sz w:val="14"/>
        </w:rPr>
      </w:r>
    </w:p>
    <w:p>
      <w:pPr>
        <w:spacing w:line="207" w:lineRule="auto" w:before="0"/>
        <w:ind w:left="560" w:right="689" w:hanging="454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1989: </w:t>
      </w:r>
      <w:r>
        <w:rPr>
          <w:rFonts w:ascii="Theinhardt Bold" w:hAnsi="Theinhardt Bold"/>
          <w:b/>
          <w:color w:val="231F20"/>
          <w:spacing w:val="5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Flurin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Curdin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Maissen</w:t>
      </w:r>
      <w:r>
        <w:rPr>
          <w:rFonts w:ascii="Theinhardt Regular" w:hAnsi="Theinhardt Regular"/>
          <w:color w:val="231F20"/>
          <w:spacing w:val="27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übernehmen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die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Firma</w:t>
      </w:r>
      <w:r>
        <w:rPr>
          <w:rFonts w:ascii="Theinhardt Regular" w:hAnsi="Theinhardt Regular"/>
          <w:sz w:val="14"/>
        </w:rPr>
      </w:r>
    </w:p>
    <w:p>
      <w:pPr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2009:</w:t>
      </w:r>
      <w:r>
        <w:rPr>
          <w:rFonts w:ascii="Theinhardt Bold"/>
          <w:b/>
          <w:color w:val="231F20"/>
          <w:spacing w:val="33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Energietechnische</w:t>
      </w:r>
      <w:r>
        <w:rPr>
          <w:rFonts w:ascii="Theinhardt Regular"/>
          <w:color w:val="231F20"/>
          <w:spacing w:val="-1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Sanierung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560" w:right="11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Tarcisi </w:t>
      </w:r>
      <w:r>
        <w:rPr>
          <w:rFonts w:ascii="Theinhardt Regular" w:hAnsi="Theinhardt Regular"/>
          <w:color w:val="231F20"/>
          <w:spacing w:val="1"/>
          <w:sz w:val="14"/>
        </w:rPr>
        <w:t>Maissen,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Firmagründer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nachhalt-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Umweltschützer,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stirbt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96-jährig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0"/>
        <w:ind w:left="560" w:right="689" w:hanging="454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2012-19: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Ausrüstung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von</w:t>
      </w:r>
      <w:r>
        <w:rPr>
          <w:rFonts w:ascii="Theinhardt Regular" w:hAnsi="Theinhardt Regular"/>
          <w:color w:val="231F20"/>
          <w:sz w:val="14"/>
        </w:rPr>
        <w:t> 6 </w:t>
      </w:r>
      <w:r>
        <w:rPr>
          <w:rFonts w:ascii="Theinhardt Regular" w:hAnsi="Theinhardt Regular"/>
          <w:color w:val="231F20"/>
          <w:spacing w:val="1"/>
          <w:sz w:val="14"/>
        </w:rPr>
        <w:t>Hallendächern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mit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Solarstromanlagen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115" w:lineRule="exact"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724396pt;margin-top:11.254608pt;width:.1pt;height:.1pt;mso-position-horizontal-relative:page;mso-position-vertical-relative:paragraph;z-index:-5560" coordorigin="7714,225" coordsize="2,2">
            <v:shape style="position:absolute;left:7714;top:225;width:2;height:2" coordorigin="7714,225" coordsize="0,0" path="m7714,225l7714,22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11.254608pt;width:.1pt;height:.1pt;mso-position-horizontal-relative:page;mso-position-vertical-relative:paragraph;z-index:1144" coordorigin="11051,225" coordsize="2,2">
            <v:shape style="position:absolute;left:11051;top:225;width:2;height:2" coordorigin="11051,225" coordsize="0,0" path="m11051,225l11051,225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after="0" w:line="115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2" w:space="119"/>
            <w:col w:w="3460" w:space="112"/>
            <w:col w:w="3567"/>
          </w:cols>
        </w:sectPr>
      </w:pPr>
    </w:p>
    <w:p>
      <w:pPr>
        <w:pStyle w:val="Heading2"/>
        <w:spacing w:line="190" w:lineRule="exact"/>
        <w:ind w:right="0"/>
        <w:jc w:val="left"/>
      </w:pPr>
      <w:r>
        <w:rPr>
          <w:color w:val="231F20"/>
        </w:rPr>
        <w:t>zu</w:t>
      </w:r>
      <w:r>
        <w:rPr>
          <w:color w:val="231F20"/>
          <w:spacing w:val="-5"/>
        </w:rPr>
        <w:t> </w:t>
      </w:r>
      <w:r>
        <w:rPr>
          <w:color w:val="231F20"/>
        </w:rPr>
        <w:t>202%.</w:t>
      </w:r>
      <w:r>
        <w:rPr>
          <w:color w:val="231F20"/>
          <w:spacing w:val="-16"/>
        </w:rPr>
        <w:t> </w:t>
      </w:r>
      <w:r>
        <w:rPr>
          <w:color w:val="231F20"/>
        </w:rPr>
        <w:t>Der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selbst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produzierte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Solarstrom</w:t>
      </w:r>
      <w:r>
        <w:rPr/>
      </w:r>
    </w:p>
    <w:p>
      <w:pPr>
        <w:pStyle w:val="BodyText"/>
        <w:tabs>
          <w:tab w:pos="3699" w:val="left" w:leader="none"/>
          <w:tab w:pos="7010" w:val="left" w:leader="none"/>
        </w:tabs>
        <w:spacing w:line="190" w:lineRule="exact"/>
        <w:ind w:right="0"/>
        <w:jc w:val="left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2"/>
        </w:rPr>
        <w:t>solaire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alimente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une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offre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étendue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servi-</w:t>
      </w:r>
      <w:r>
        <w:rPr>
          <w:color w:val="231F20"/>
        </w:rPr>
        <w:tab/>
      </w:r>
      <w:r>
        <w:rPr>
          <w:color w:val="231F20"/>
          <w:u w:val="dotted" w:color="231F20"/>
        </w:rPr>
        <w:t> </w:t>
        <w:tab/>
      </w:r>
      <w:r>
        <w:rPr>
          <w:color w:val="231F20"/>
        </w:rPr>
      </w:r>
      <w:r>
        <w:rPr>
          <w:i w:val="0"/>
        </w:rPr>
      </w:r>
    </w:p>
    <w:p>
      <w:pPr>
        <w:spacing w:after="0" w:line="190" w:lineRule="exact"/>
        <w:jc w:val="left"/>
        <w:sectPr>
          <w:type w:val="continuous"/>
          <w:pgSz w:w="11910" w:h="16840"/>
          <w:pgMar w:top="840" w:bottom="280" w:left="460" w:right="740"/>
          <w:cols w:num="2" w:equalWidth="0">
            <w:col w:w="3452" w:space="119"/>
            <w:col w:w="7139"/>
          </w:cols>
        </w:sectPr>
      </w:pPr>
    </w:p>
    <w:p>
      <w:pPr>
        <w:pStyle w:val="Heading2"/>
        <w:spacing w:line="232" w:lineRule="auto" w:before="7"/>
        <w:ind w:right="0"/>
        <w:jc w:val="right"/>
      </w:pPr>
      <w:r>
        <w:rPr>
          <w:color w:val="231F20"/>
          <w:spacing w:val="-1"/>
        </w:rPr>
        <w:t>versorgt</w:t>
      </w:r>
      <w:r>
        <w:rPr>
          <w:color w:val="231F20"/>
          <w:spacing w:val="18"/>
        </w:rPr>
        <w:t> </w:t>
      </w:r>
      <w:r>
        <w:rPr>
          <w:color w:val="231F20"/>
        </w:rPr>
        <w:t>das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breite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Dienstleistungsangebot</w:t>
      </w:r>
      <w:r>
        <w:rPr>
          <w:color w:val="231F20"/>
          <w:spacing w:val="41"/>
        </w:rPr>
        <w:t> </w:t>
      </w:r>
      <w:r>
        <w:rPr>
          <w:color w:val="231F20"/>
        </w:rPr>
        <w:t>von</w:t>
      </w:r>
      <w:r>
        <w:rPr>
          <w:color w:val="231F20"/>
          <w:spacing w:val="-3"/>
        </w:rPr>
        <w:t> </w:t>
      </w:r>
      <w:r>
        <w:rPr>
          <w:color w:val="231F20"/>
        </w:rPr>
        <w:t>Säge-,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Schreiner-,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Zimmerei-,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Schlosse-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rei-</w:t>
      </w:r>
      <w:r>
        <w:rPr>
          <w:color w:val="231F20"/>
        </w:rPr>
        <w:t> und Steinmetzarbeiten.</w:t>
      </w:r>
      <w:r>
        <w:rPr>
          <w:color w:val="231F20"/>
          <w:spacing w:val="-11"/>
        </w:rPr>
        <w:t> </w:t>
      </w:r>
      <w:r>
        <w:rPr>
          <w:color w:val="231F20"/>
        </w:rPr>
        <w:t>Der </w:t>
      </w:r>
      <w:r>
        <w:rPr>
          <w:color w:val="231F20"/>
          <w:spacing w:val="-1"/>
        </w:rPr>
        <w:t>Solarstrom-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überschuss</w:t>
      </w:r>
      <w:r>
        <w:rPr>
          <w:color w:val="231F20"/>
          <w:spacing w:val="18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260’000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kWh/a,</w:t>
      </w:r>
      <w:r>
        <w:rPr>
          <w:color w:val="231F20"/>
          <w:spacing w:val="7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nicht</w:t>
      </w:r>
      <w:r>
        <w:rPr>
          <w:color w:val="231F20"/>
          <w:spacing w:val="34"/>
        </w:rPr>
        <w:t> </w:t>
      </w:r>
      <w:r>
        <w:rPr>
          <w:color w:val="231F20"/>
        </w:rPr>
        <w:t>für  </w:t>
      </w:r>
      <w:r>
        <w:rPr>
          <w:color w:val="231F20"/>
          <w:spacing w:val="1"/>
        </w:rPr>
        <w:t> </w:t>
      </w:r>
      <w:r>
        <w:rPr>
          <w:color w:val="231F20"/>
        </w:rPr>
        <w:t>die  </w:t>
      </w:r>
      <w:r>
        <w:rPr>
          <w:color w:val="231F20"/>
          <w:spacing w:val="1"/>
        </w:rPr>
        <w:t> </w:t>
      </w:r>
      <w:r>
        <w:rPr>
          <w:color w:val="231F20"/>
        </w:rPr>
        <w:t>öffentliche  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Solarstrom-Tankstelle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genutzt</w:t>
      </w:r>
      <w:r>
        <w:rPr>
          <w:color w:val="231F20"/>
        </w:rPr>
        <w:t> </w:t>
      </w:r>
      <w:r>
        <w:rPr>
          <w:color w:val="231F20"/>
          <w:spacing w:val="-2"/>
        </w:rPr>
        <w:t>wird,</w:t>
      </w:r>
      <w:r>
        <w:rPr>
          <w:color w:val="231F20"/>
          <w:spacing w:val="-11"/>
        </w:rPr>
        <w:t> </w:t>
      </w:r>
      <w:r>
        <w:rPr>
          <w:color w:val="231F20"/>
        </w:rPr>
        <w:t>fliesst in das öffentliche </w:t>
      </w:r>
      <w:r>
        <w:rPr>
          <w:color w:val="231F20"/>
          <w:spacing w:val="1"/>
        </w:rPr>
        <w:t>Netz.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> </w:t>
      </w:r>
      <w:r>
        <w:rPr>
          <w:color w:val="231F20"/>
        </w:rPr>
        <w:t>Sägemehl-/Holzschnitzelheizung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ge-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winnt</w:t>
      </w:r>
      <w:r>
        <w:rPr>
          <w:color w:val="231F20"/>
          <w:spacing w:val="24"/>
        </w:rPr>
        <w:t> </w:t>
      </w:r>
      <w:r>
        <w:rPr>
          <w:color w:val="231F20"/>
        </w:rPr>
        <w:t>aus</w:t>
      </w:r>
      <w:r>
        <w:rPr>
          <w:color w:val="231F20"/>
          <w:spacing w:val="25"/>
        </w:rPr>
        <w:t> </w:t>
      </w:r>
      <w:r>
        <w:rPr>
          <w:color w:val="231F20"/>
        </w:rPr>
        <w:t>Abfallholz</w:t>
      </w:r>
      <w:r>
        <w:rPr>
          <w:color w:val="231F20"/>
          <w:spacing w:val="24"/>
        </w:rPr>
        <w:t> </w:t>
      </w:r>
      <w:r>
        <w:rPr>
          <w:color w:val="231F20"/>
        </w:rPr>
        <w:t>rund</w:t>
      </w:r>
      <w:r>
        <w:rPr>
          <w:color w:val="231F20"/>
          <w:spacing w:val="25"/>
        </w:rPr>
        <w:t> </w:t>
      </w:r>
      <w:r>
        <w:rPr>
          <w:color w:val="231F20"/>
        </w:rPr>
        <w:t>761’000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Wärmeenergie.</w:t>
      </w:r>
      <w:r>
        <w:rPr>
          <w:color w:val="231F20"/>
          <w:spacing w:val="-18"/>
        </w:rPr>
        <w:t> </w:t>
      </w:r>
      <w:r>
        <w:rPr>
          <w:color w:val="231F20"/>
        </w:rPr>
        <w:t>Damit</w:t>
      </w:r>
      <w:r>
        <w:rPr>
          <w:color w:val="231F20"/>
          <w:spacing w:val="-8"/>
        </w:rPr>
        <w:t> </w:t>
      </w:r>
      <w:r>
        <w:rPr>
          <w:color w:val="231F20"/>
        </w:rPr>
        <w:t>liefert</w:t>
      </w:r>
      <w:r>
        <w:rPr>
          <w:color w:val="231F20"/>
          <w:spacing w:val="-7"/>
        </w:rPr>
        <w:t> </w:t>
      </w:r>
      <w:r>
        <w:rPr>
          <w:color w:val="231F20"/>
        </w:rPr>
        <w:t>sie</w:t>
      </w:r>
      <w:r>
        <w:rPr>
          <w:color w:val="231F20"/>
          <w:spacing w:val="-7"/>
        </w:rPr>
        <w:t> </w:t>
      </w:r>
      <w:r>
        <w:rPr>
          <w:color w:val="231F20"/>
        </w:rPr>
        <w:t>den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gesam-</w:t>
      </w:r>
      <w:r>
        <w:rPr>
          <w:color w:val="231F20"/>
          <w:spacing w:val="21"/>
        </w:rPr>
        <w:t> </w:t>
      </w:r>
      <w:r>
        <w:rPr>
          <w:color w:val="231F20"/>
        </w:rPr>
        <w:t>ten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Wärmebedarf</w:t>
      </w:r>
      <w:r>
        <w:rPr>
          <w:color w:val="231F20"/>
          <w:spacing w:val="27"/>
        </w:rPr>
        <w:t> </w:t>
      </w:r>
      <w:r>
        <w:rPr>
          <w:color w:val="231F20"/>
        </w:rPr>
        <w:t>von</w:t>
      </w:r>
      <w:r>
        <w:rPr>
          <w:color w:val="231F20"/>
          <w:spacing w:val="26"/>
        </w:rPr>
        <w:t> </w:t>
      </w:r>
      <w:r>
        <w:rPr>
          <w:color w:val="231F20"/>
        </w:rPr>
        <w:t>ca.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679’200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34"/>
        </w:rPr>
        <w:t> </w:t>
      </w:r>
      <w:r>
        <w:rPr>
          <w:color w:val="231F20"/>
        </w:rPr>
        <w:t>für</w:t>
      </w:r>
      <w:r>
        <w:rPr>
          <w:color w:val="231F20"/>
          <w:spacing w:val="40"/>
        </w:rPr>
        <w:t> </w:t>
      </w:r>
      <w:r>
        <w:rPr>
          <w:color w:val="231F20"/>
        </w:rPr>
        <w:t>alle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Werk-</w:t>
      </w:r>
      <w:r>
        <w:rPr>
          <w:color w:val="231F20"/>
          <w:spacing w:val="40"/>
        </w:rPr>
        <w:t> </w:t>
      </w:r>
      <w:r>
        <w:rPr>
          <w:color w:val="231F20"/>
        </w:rPr>
        <w:t>und</w:t>
      </w:r>
      <w:r>
        <w:rPr>
          <w:color w:val="231F20"/>
          <w:spacing w:val="41"/>
        </w:rPr>
        <w:t> </w:t>
      </w:r>
      <w:r>
        <w:rPr>
          <w:color w:val="231F20"/>
        </w:rPr>
        <w:t>Lagerhallen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sowie</w:t>
      </w:r>
      <w:r>
        <w:rPr>
          <w:color w:val="231F20"/>
          <w:spacing w:val="40"/>
        </w:rPr>
        <w:t> </w:t>
      </w:r>
      <w:r>
        <w:rPr>
          <w:color w:val="231F20"/>
        </w:rPr>
        <w:t>die</w:t>
      </w:r>
      <w:r>
        <w:rPr/>
      </w:r>
    </w:p>
    <w:p>
      <w:pPr>
        <w:spacing w:line="228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/>
          <w:color w:val="231F20"/>
          <w:spacing w:val="-1"/>
          <w:sz w:val="18"/>
        </w:rPr>
        <w:t>Holztrocknungsanlagen.</w:t>
      </w:r>
      <w:r>
        <w:rPr>
          <w:rFonts w:ascii="Theinhardt Regular"/>
          <w:sz w:val="18"/>
        </w:rPr>
      </w:r>
    </w:p>
    <w:p>
      <w:pPr>
        <w:spacing w:line="223" w:lineRule="auto" w:before="8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dem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CO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-neutralen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Fernwärme-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Energieüberschuss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ca.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81’800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können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noch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zwei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Nachbarbauten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beheizt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werden.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2" w:lineRule="auto" w:before="2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2"/>
          <w:sz w:val="18"/>
        </w:rPr>
        <w:t>Energiesparend,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wirtschaftlich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öko-</w:t>
      </w:r>
      <w:r>
        <w:rPr>
          <w:rFonts w:ascii="Theinhardt Regular" w:hAnsi="Theinhardt Regular"/>
          <w:color w:val="231F20"/>
          <w:spacing w:val="5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logisch</w:t>
      </w:r>
      <w:r>
        <w:rPr>
          <w:rFonts w:ascii="Theinhardt Regular" w:hAnsi="Theinhardt Regular"/>
          <w:color w:val="231F20"/>
          <w:spacing w:val="3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sinnvoll</w:t>
      </w:r>
      <w:r>
        <w:rPr>
          <w:rFonts w:ascii="Theinhardt Regular" w:hAnsi="Theinhardt Regular"/>
          <w:color w:val="231F20"/>
          <w:spacing w:val="4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arbeitet</w:t>
      </w:r>
      <w:r>
        <w:rPr>
          <w:rFonts w:ascii="Theinhardt Regular" w:hAnsi="Theinhardt Regular"/>
          <w:color w:val="231F20"/>
          <w:spacing w:val="3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4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Betrieb</w:t>
      </w:r>
      <w:r>
        <w:rPr>
          <w:rFonts w:ascii="Theinhardt Regular" w:hAnsi="Theinhardt Regular"/>
          <w:color w:val="231F20"/>
          <w:spacing w:val="4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auch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bei</w:t>
      </w:r>
      <w:r>
        <w:rPr>
          <w:rFonts w:ascii="Theinhardt Regular" w:hAnsi="Theinhardt Regular"/>
          <w:color w:val="231F20"/>
          <w:spacing w:val="-1"/>
          <w:sz w:val="18"/>
        </w:rPr>
        <w:t> Planung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pacing w:val="1"/>
          <w:sz w:val="18"/>
        </w:rPr>
        <w:t>Bau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von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Gebäuden.</w:t>
      </w:r>
      <w:r>
        <w:rPr>
          <w:rFonts w:ascii="Theinhardt Regular" w:hAnsi="Theinhardt Regular"/>
          <w:color w:val="231F20"/>
          <w:spacing w:val="-26"/>
          <w:sz w:val="18"/>
        </w:rPr>
        <w:t> </w:t>
      </w:r>
      <w:r>
        <w:rPr>
          <w:rFonts w:ascii="Theinhardt Regular" w:hAnsi="Theinhardt Regular"/>
          <w:color w:val="231F20"/>
          <w:spacing w:val="-3"/>
          <w:sz w:val="18"/>
        </w:rPr>
        <w:t>Tarcisi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Maissens</w:t>
      </w:r>
      <w:r>
        <w:rPr>
          <w:rFonts w:ascii="Theinhardt Regular" w:hAnsi="Theinhardt Regular"/>
          <w:color w:val="231F20"/>
          <w:spacing w:val="-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Bauten</w:t>
      </w:r>
      <w:r>
        <w:rPr>
          <w:rFonts w:ascii="Theinhardt Regular" w:hAnsi="Theinhardt Regular"/>
          <w:color w:val="231F20"/>
          <w:spacing w:val="-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weisen</w:t>
      </w:r>
      <w:r>
        <w:rPr>
          <w:rFonts w:ascii="Theinhardt Regular" w:hAnsi="Theinhardt Regular"/>
          <w:color w:val="231F20"/>
          <w:spacing w:val="-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stets</w:t>
      </w:r>
      <w:r>
        <w:rPr>
          <w:rFonts w:ascii="Theinhardt Regular" w:hAnsi="Theinhardt Regular"/>
          <w:color w:val="231F20"/>
          <w:spacing w:val="-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</w:t>
      </w:r>
      <w:r>
        <w:rPr>
          <w:rFonts w:ascii="Theinhardt Regular" w:hAnsi="Theinhardt Regular"/>
          <w:color w:val="231F20"/>
          <w:spacing w:val="-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niedrige</w:t>
      </w:r>
      <w:r>
        <w:rPr>
          <w:rFonts w:ascii="Theinhardt Regular" w:hAnsi="Theinhardt Regular"/>
          <w:color w:val="231F20"/>
          <w:spacing w:val="3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Energiekennzahl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(EKZ)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auf.</w:t>
      </w:r>
      <w:r>
        <w:rPr>
          <w:rFonts w:ascii="Theinhardt Regular" w:hAnsi="Theinhardt Regular"/>
          <w:color w:val="231F20"/>
          <w:sz w:val="18"/>
        </w:rPr>
        <w:t> Ein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Betrieb,</w:t>
      </w:r>
      <w:r>
        <w:rPr>
          <w:rFonts w:ascii="Theinhardt Regular" w:hAnsi="Theinhardt Regular"/>
          <w:color w:val="231F20"/>
          <w:sz w:val="18"/>
        </w:rPr>
        <w:t> der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ca.</w:t>
      </w:r>
      <w:r>
        <w:rPr>
          <w:rFonts w:ascii="Theinhardt Regular" w:hAnsi="Theinhardt Regular"/>
          <w:color w:val="231F20"/>
          <w:spacing w:val="1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55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Mitarbeitenden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Energie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für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Produktion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Heizung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sogar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grossem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Überschuss</w:t>
      </w:r>
      <w:r>
        <w:rPr>
          <w:rFonts w:ascii="Theinhardt Regular" w:hAnsi="Theinhardt Regular"/>
          <w:color w:val="231F20"/>
          <w:spacing w:val="-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selbst</w:t>
      </w:r>
      <w:r>
        <w:rPr>
          <w:rFonts w:ascii="Theinhardt Regular" w:hAnsi="Theinhardt Regular"/>
          <w:color w:val="231F20"/>
          <w:spacing w:val="-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bereitstellen</w:t>
      </w:r>
      <w:r>
        <w:rPr>
          <w:rFonts w:ascii="Theinhardt Regular" w:hAnsi="Theinhardt Regular"/>
          <w:color w:val="231F20"/>
          <w:spacing w:val="-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kann,</w:t>
      </w:r>
      <w:r>
        <w:rPr>
          <w:rFonts w:ascii="Theinhardt Regular" w:hAnsi="Theinhardt Regular"/>
          <w:color w:val="231F20"/>
          <w:spacing w:val="-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ist</w:t>
      </w:r>
      <w:r>
        <w:rPr>
          <w:rFonts w:ascii="Theinhardt Regular" w:hAnsi="Theinhardt Regular"/>
          <w:color w:val="231F20"/>
          <w:spacing w:val="-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</w:t>
      </w:r>
      <w:r>
        <w:rPr>
          <w:rFonts w:ascii="Theinhardt Regular" w:hAnsi="Theinhardt Regular"/>
          <w:color w:val="231F20"/>
          <w:spacing w:val="5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Beweis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pacing w:val="-3"/>
          <w:sz w:val="18"/>
        </w:rPr>
        <w:t>dafür,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dass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Energiewende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auch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für</w:t>
      </w:r>
      <w:r>
        <w:rPr>
          <w:rFonts w:ascii="Theinhardt Regular" w:hAnsi="Theinhardt Regular"/>
          <w:color w:val="231F20"/>
          <w:spacing w:val="42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grössere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Betriebe</w:t>
      </w:r>
      <w:r>
        <w:rPr>
          <w:rFonts w:ascii="Theinhardt Regular" w:hAnsi="Theinhardt Regular"/>
          <w:color w:val="231F20"/>
          <w:spacing w:val="4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entsprechender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Weitsicht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ohne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weiteres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möglich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ist.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Dafür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verdient</w:t>
      </w:r>
      <w:r>
        <w:rPr>
          <w:rFonts w:ascii="Theinhardt Regular" w:hAnsi="Theinhardt Regular"/>
          <w:color w:val="231F20"/>
          <w:spacing w:val="3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4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Holzbauunternehmung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3"/>
          <w:sz w:val="18"/>
        </w:rPr>
        <w:t>Tarcisi</w:t>
      </w:r>
      <w:r>
        <w:rPr>
          <w:rFonts w:ascii="Theinhardt Regular" w:hAnsi="Theinhardt Regular"/>
          <w:color w:val="231F20"/>
          <w:spacing w:val="4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Maissen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SA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2019.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2" w:lineRule="auto" w:before="7"/>
        <w:ind w:right="2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2"/>
        </w:rPr>
        <w:t>ces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(scierie,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ébénisterie,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menuiserie,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serrure-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rie,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taille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pierre).</w:t>
      </w:r>
      <w:r>
        <w:rPr>
          <w:color w:val="231F20"/>
          <w:spacing w:val="16"/>
        </w:rPr>
        <w:t> </w:t>
      </w:r>
      <w:r>
        <w:rPr>
          <w:color w:val="231F20"/>
          <w:spacing w:val="-7"/>
        </w:rPr>
        <w:t>L’excédent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260’000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kWh/a,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qui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n'est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pas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utilisé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pour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borne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recharge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publique,</w:t>
      </w:r>
      <w:r>
        <w:rPr>
          <w:color w:val="231F20"/>
        </w:rPr>
        <w:t> </w:t>
      </w:r>
      <w:r>
        <w:rPr>
          <w:color w:val="231F20"/>
          <w:spacing w:val="-2"/>
        </w:rPr>
        <w:t>est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injecté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dans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réseau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public.</w:t>
      </w:r>
      <w:r>
        <w:rPr>
          <w:i w:val="0"/>
        </w:rPr>
      </w:r>
    </w:p>
    <w:p>
      <w:pPr>
        <w:pStyle w:val="BodyText"/>
        <w:spacing w:line="232" w:lineRule="auto"/>
        <w:ind w:right="0" w:firstLine="226"/>
        <w:jc w:val="both"/>
        <w:rPr>
          <w:i w:val="0"/>
        </w:rPr>
      </w:pPr>
      <w:r>
        <w:rPr>
          <w:color w:val="231F20"/>
          <w:spacing w:val="-5"/>
        </w:rPr>
        <w:t>Tarcisi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Maissen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produit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outre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761’000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d’énergie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thermique</w:t>
      </w:r>
      <w:r>
        <w:rPr>
          <w:color w:val="231F20"/>
          <w:spacing w:val="36"/>
        </w:rPr>
        <w:t> </w:t>
      </w:r>
      <w:r>
        <w:rPr>
          <w:color w:val="231F20"/>
        </w:rPr>
        <w:t>à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partir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dé-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chets</w:t>
      </w:r>
      <w:r>
        <w:rPr>
          <w:color w:val="231F20"/>
        </w:rPr>
        <w:t> </w:t>
      </w:r>
      <w:r>
        <w:rPr>
          <w:color w:val="231F20"/>
          <w:spacing w:val="-3"/>
        </w:rPr>
        <w:t>de</w:t>
      </w:r>
      <w:r>
        <w:rPr>
          <w:color w:val="231F20"/>
        </w:rPr>
        <w:t> </w:t>
      </w:r>
      <w:r>
        <w:rPr>
          <w:color w:val="231F20"/>
          <w:spacing w:val="-2"/>
        </w:rPr>
        <w:t>bois</w:t>
      </w:r>
      <w:r>
        <w:rPr>
          <w:color w:val="231F20"/>
        </w:rPr>
        <w:t> </w:t>
      </w:r>
      <w:r>
        <w:rPr>
          <w:color w:val="231F20"/>
          <w:spacing w:val="-3"/>
        </w:rPr>
        <w:t>tels</w:t>
      </w:r>
      <w:r>
        <w:rPr>
          <w:color w:val="231F20"/>
        </w:rPr>
        <w:t> </w:t>
      </w:r>
      <w:r>
        <w:rPr>
          <w:color w:val="231F20"/>
          <w:spacing w:val="-3"/>
        </w:rPr>
        <w:t>que</w:t>
      </w:r>
      <w:r>
        <w:rPr>
          <w:color w:val="231F20"/>
        </w:rPr>
        <w:t> </w:t>
      </w:r>
      <w:r>
        <w:rPr>
          <w:color w:val="231F20"/>
          <w:spacing w:val="-3"/>
        </w:rPr>
        <w:t>sciure</w:t>
      </w:r>
      <w:r>
        <w:rPr>
          <w:color w:val="231F20"/>
        </w:rPr>
        <w:t> </w:t>
      </w:r>
      <w:r>
        <w:rPr>
          <w:color w:val="231F20"/>
          <w:spacing w:val="-1"/>
        </w:rPr>
        <w:t>et</w:t>
      </w:r>
      <w:r>
        <w:rPr>
          <w:color w:val="231F20"/>
        </w:rPr>
        <w:t> </w:t>
      </w:r>
      <w:r>
        <w:rPr>
          <w:color w:val="231F20"/>
          <w:spacing w:val="-2"/>
        </w:rPr>
        <w:t>copeaux.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Elle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couvre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ainsi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besoins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chaleur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d’environ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679’200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bâtiments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production,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 stockage </w:t>
      </w:r>
      <w:r>
        <w:rPr>
          <w:color w:val="231F20"/>
          <w:spacing w:val="-1"/>
        </w:rPr>
        <w:t>et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 séchage </w:t>
      </w:r>
      <w:r>
        <w:rPr>
          <w:color w:val="231F20"/>
          <w:spacing w:val="-1"/>
        </w:rPr>
        <w:t>du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bois.</w:t>
      </w:r>
      <w:r>
        <w:rPr>
          <w:i w:val="0"/>
        </w:rPr>
      </w:r>
    </w:p>
    <w:p>
      <w:pPr>
        <w:pStyle w:val="BodyText"/>
        <w:spacing w:line="232" w:lineRule="auto"/>
        <w:ind w:right="3" w:firstLine="226"/>
        <w:jc w:val="both"/>
        <w:rPr>
          <w:i w:val="0"/>
        </w:rPr>
      </w:pPr>
      <w:r>
        <w:rPr>
          <w:color w:val="231F20"/>
          <w:spacing w:val="-3"/>
        </w:rPr>
        <w:t>Elle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permet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chauffer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deux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constructions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voisines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avec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l’excédent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chauffage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urbain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neutre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</w:t>
      </w:r>
      <w:r>
        <w:rPr>
          <w:color w:val="231F20"/>
          <w:spacing w:val="-2"/>
          <w:position w:val="-5"/>
          <w:sz w:val="10"/>
          <w:szCs w:val="10"/>
        </w:rPr>
        <w:t>2</w:t>
      </w:r>
      <w:r>
        <w:rPr>
          <w:color w:val="231F20"/>
          <w:spacing w:val="19"/>
          <w:position w:val="-5"/>
          <w:sz w:val="10"/>
          <w:szCs w:val="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81’800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kWh/a.</w:t>
      </w:r>
      <w:r>
        <w:rPr>
          <w:i w:val="0"/>
        </w:rPr>
      </w:r>
    </w:p>
    <w:p>
      <w:pPr>
        <w:pStyle w:val="BodyText"/>
        <w:spacing w:line="197" w:lineRule="exact"/>
        <w:ind w:right="0" w:firstLine="226"/>
        <w:jc w:val="both"/>
        <w:rPr>
          <w:i w:val="0"/>
        </w:rPr>
      </w:pPr>
      <w:r>
        <w:rPr>
          <w:color w:val="231F20"/>
          <w:spacing w:val="-5"/>
        </w:rPr>
        <w:t>L'entreprise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travaille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aussi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manière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éco-</w:t>
      </w:r>
      <w:r>
        <w:rPr>
          <w:i w:val="0"/>
        </w:rPr>
      </w:r>
    </w:p>
    <w:p>
      <w:pPr>
        <w:pStyle w:val="BodyText"/>
        <w:spacing w:line="232" w:lineRule="auto" w:before="1"/>
        <w:ind w:right="0"/>
        <w:jc w:val="both"/>
        <w:rPr>
          <w:i w:val="0"/>
        </w:rPr>
      </w:pPr>
      <w:r>
        <w:rPr>
          <w:color w:val="231F20"/>
          <w:spacing w:val="-3"/>
        </w:rPr>
        <w:t>nome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énergie,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économique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écologique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lorsqu’il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s’agit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planifier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construire.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Les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bâtiments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Tarcisi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Maissen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présentent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tou-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jours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faible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indice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dépense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énergétique.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Qu’une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société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employant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une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cinquantaine</w:t>
      </w:r>
      <w:r>
        <w:rPr>
          <w:color w:val="231F20"/>
          <w:spacing w:val="5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personnes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puisse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générer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son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énergie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d’exploitation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chauffage,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tout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déga-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geant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important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excédent,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prouve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révolution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énergétique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portée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chaque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entreprise,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même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plus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grandes,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pour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au-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tant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qu’elles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aient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une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vision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long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terme.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Tar-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cisi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Maissen</w:t>
      </w:r>
      <w:r>
        <w:rPr>
          <w:color w:val="231F20"/>
          <w:spacing w:val="-10"/>
        </w:rPr>
        <w:t> </w:t>
      </w:r>
      <w:r>
        <w:rPr>
          <w:color w:val="231F20"/>
        </w:rPr>
        <w:t>SA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reçoit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pour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cela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Prix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Solaire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Suisse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2019.</w:t>
      </w:r>
      <w:r>
        <w:rPr>
          <w:i w:val="0"/>
        </w:rPr>
      </w:r>
    </w:p>
    <w:p>
      <w:pPr>
        <w:spacing w:line="14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/>
          <w:b/>
          <w:color w:val="231F20"/>
          <w:spacing w:val="1"/>
          <w:sz w:val="14"/>
        </w:rPr>
        <w:t>Energiebedarf</w:t>
      </w:r>
      <w:r>
        <w:rPr>
          <w:rFonts w:ascii="Theinhardt Bold"/>
          <w:sz w:val="14"/>
        </w:rPr>
      </w:r>
    </w:p>
    <w:p>
      <w:pPr>
        <w:tabs>
          <w:tab w:pos="1694" w:val="left" w:leader="none"/>
          <w:tab w:pos="2022" w:val="left" w:leader="none"/>
          <w:tab w:pos="2493" w:val="left" w:leader="none"/>
          <w:tab w:pos="2992" w:val="left" w:leader="none"/>
        </w:tabs>
        <w:spacing w:line="207" w:lineRule="auto" w:before="5"/>
        <w:ind w:left="106" w:right="16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3’550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Wärme: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191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73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679’200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96" w:val="left" w:leader="none"/>
          <w:tab w:pos="2493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Elektrizitätsbedarf: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72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256’300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08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263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935’500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757" w:val="left" w:leader="none"/>
          <w:tab w:pos="965" w:val="left" w:leader="none"/>
          <w:tab w:pos="1341" w:val="left" w:leader="none"/>
          <w:tab w:pos="2021" w:val="left" w:leader="none"/>
          <w:tab w:pos="2492" w:val="left" w:leader="none"/>
          <w:tab w:pos="2871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PV: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4’058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w w:val="95"/>
          <w:sz w:val="14"/>
          <w:szCs w:val="14"/>
        </w:rPr>
        <w:t>674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123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55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517’600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96" w:val="left" w:leader="none"/>
          <w:tab w:pos="2863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Holzschnitzel: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81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761’000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12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136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1’278’600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tabs>
          <w:tab w:pos="2529" w:val="left" w:leader="none"/>
          <w:tab w:pos="2992" w:val="left" w:leader="none"/>
        </w:tabs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spacing w:line="240" w:lineRule="auto" w:before="8"/>
        <w:rPr>
          <w:rFonts w:ascii="Theinhardt Regular" w:hAnsi="Theinhardt Regular" w:cs="Theinhardt Regular" w:eastAsia="Theinhardt Regular"/>
          <w:sz w:val="5"/>
          <w:szCs w:val="5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2"/>
        <w:gridCol w:w="783"/>
        <w:gridCol w:w="693"/>
      </w:tblGrid>
      <w:tr>
        <w:trPr>
          <w:trHeight w:val="241" w:hRule="exact"/>
        </w:trPr>
        <w:tc>
          <w:tcPr>
            <w:tcW w:w="1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74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</w:t>
            </w:r>
            <w:r>
              <w:rPr>
                <w:rFonts w:ascii="Theinhardt Bold"/>
                <w:b/>
                <w:color w:val="231F20"/>
                <w:spacing w:val="3"/>
                <w:sz w:val="14"/>
              </w:rPr>
              <w:t>es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a</w:t>
            </w:r>
            <w:r>
              <w:rPr>
                <w:rFonts w:ascii="Theinhardt Bold"/>
                <w:b/>
                <w:color w:val="231F20"/>
                <w:spacing w:val="3"/>
                <w:sz w:val="14"/>
              </w:rPr>
              <w:t>m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t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ener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g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iebeda</w:t>
            </w:r>
            <w:r>
              <w:rPr>
                <w:rFonts w:ascii="Theinhardt Bold"/>
                <w:b/>
                <w:color w:val="231F20"/>
                <w:spacing w:val="4"/>
                <w:sz w:val="14"/>
              </w:rPr>
              <w:t>r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f</w:t>
            </w:r>
            <w:r>
              <w:rPr>
                <w:rFonts w:ascii="Theinhardt Bold"/>
                <w:b/>
                <w:color w:val="231F20"/>
                <w:sz w:val="14"/>
              </w:rPr>
              <w:t>: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PV-Energieversorgung: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74" w:lineRule="exact"/>
              <w:ind w:left="43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100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68" w:lineRule="exact"/>
              <w:ind w:left="43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202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74" w:lineRule="exact"/>
              <w:ind w:left="89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935’500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  <w:p>
            <w:pPr>
              <w:pStyle w:val="TableParagraph"/>
              <w:spacing w:line="168" w:lineRule="exact"/>
              <w:ind w:left="11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517’600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30" w:hRule="exact"/>
        </w:trPr>
        <w:tc>
          <w:tcPr>
            <w:tcW w:w="1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Wärmeversorgung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/>
              <w:ind w:left="45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7"/>
                <w:sz w:val="14"/>
              </w:rPr>
              <w:t>112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/>
              <w:ind w:left="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679’200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</w:tbl>
    <w:p>
      <w:pPr>
        <w:tabs>
          <w:tab w:pos="2310" w:val="left" w:leader="none"/>
        </w:tabs>
        <w:spacing w:line="172" w:lineRule="exact" w:before="1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≈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136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1’276’000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1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102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260’000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96" w:val="left" w:leader="none"/>
          <w:tab w:pos="293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Nahwärmeüberschuss: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81’832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11"/>
          <w:szCs w:val="11"/>
        </w:rPr>
      </w:pP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</w:t>
      </w:r>
      <w:r>
        <w:rPr>
          <w:rFonts w:ascii="Theinhardt Bold" w:hAnsi="Theinhardt Bold"/>
          <w:b/>
          <w:color w:val="231F20"/>
          <w:spacing w:val="-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von</w:t>
      </w:r>
      <w:r>
        <w:rPr>
          <w:rFonts w:ascii="Theinhardt Bold" w:hAnsi="Theinhardt Bold"/>
          <w:b/>
          <w:color w:val="231F20"/>
          <w:spacing w:val="-9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REPOWER</w:t>
      </w:r>
      <w:r>
        <w:rPr>
          <w:rFonts w:ascii="Theinhardt Bold" w:hAnsi="Theinhardt Bold"/>
          <w:b/>
          <w:color w:val="231F20"/>
          <w:spacing w:val="-7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am</w:t>
      </w:r>
      <w:r>
        <w:rPr>
          <w:rFonts w:ascii="Theinhardt Regular" w:hAnsi="Theinhardt Regular"/>
          <w:color w:val="231F20"/>
          <w:spacing w:val="-1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24.09.2019,</w:t>
      </w:r>
      <w:r>
        <w:rPr>
          <w:rFonts w:ascii="Theinhardt Regular" w:hAnsi="Theinhardt Regular"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Vitus</w:t>
      </w:r>
      <w:r>
        <w:rPr>
          <w:rFonts w:ascii="Theinhardt Regular" w:hAnsi="Theinhardt Regular"/>
          <w:color w:val="231F20"/>
          <w:spacing w:val="-1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Caduff,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0814237859</w:t>
      </w:r>
      <w:r>
        <w:rPr>
          <w:rFonts w:ascii="Theinhardt Regular" w:hAnsi="Theinhardt Regular"/>
          <w:sz w:val="14"/>
        </w:rPr>
      </w:r>
    </w:p>
    <w:p>
      <w:pPr>
        <w:spacing w:line="179" w:lineRule="auto" w:before="83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(PEB-relevant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ist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der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CO</w:t>
      </w:r>
      <w:r>
        <w:rPr>
          <w:rFonts w:ascii="Theinhardt Regular" w:hAnsi="Theinhardt Regular"/>
          <w:color w:val="231F20"/>
          <w:spacing w:val="-1"/>
          <w:position w:val="-4"/>
          <w:sz w:val="8"/>
        </w:rPr>
        <w:t>2</w:t>
      </w:r>
      <w:r>
        <w:rPr>
          <w:rFonts w:ascii="Theinhardt Regular" w:hAnsi="Theinhardt Regular"/>
          <w:color w:val="231F20"/>
          <w:spacing w:val="-1"/>
          <w:sz w:val="14"/>
        </w:rPr>
        <w:t>-freie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Solarstromüberschuss;</w:t>
      </w:r>
      <w:r>
        <w:rPr>
          <w:rFonts w:ascii="Theinhardt Regular" w:hAnsi="Theinhardt Regular"/>
          <w:color w:val="231F20"/>
          <w:spacing w:val="5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Holz ist </w:t>
      </w:r>
      <w:r>
        <w:rPr>
          <w:rFonts w:ascii="Theinhardt Regular" w:hAnsi="Theinhardt Regular"/>
          <w:color w:val="231F20"/>
          <w:spacing w:val="-1"/>
          <w:sz w:val="14"/>
        </w:rPr>
        <w:t>CO</w:t>
      </w:r>
      <w:r>
        <w:rPr>
          <w:rFonts w:ascii="Theinhardt Regular" w:hAnsi="Theinhardt Regular"/>
          <w:color w:val="231F20"/>
          <w:spacing w:val="-1"/>
          <w:position w:val="-4"/>
          <w:sz w:val="8"/>
        </w:rPr>
        <w:t>2</w:t>
      </w:r>
      <w:r>
        <w:rPr>
          <w:rFonts w:ascii="Theinhardt Regular" w:hAnsi="Theinhardt Regular"/>
          <w:color w:val="231F20"/>
          <w:spacing w:val="-1"/>
          <w:sz w:val="14"/>
        </w:rPr>
        <w:t>-neutral,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zählt aber als </w:t>
      </w:r>
      <w:r>
        <w:rPr>
          <w:rFonts w:ascii="Theinhardt Regular" w:hAnsi="Theinhardt Regular"/>
          <w:color w:val="231F20"/>
          <w:spacing w:val="-2"/>
          <w:sz w:val="14"/>
        </w:rPr>
        <w:t>Fremdenergiezufuhr.)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4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186</w:t>
      </w:r>
      <w:r>
        <w:rPr>
          <w:rFonts w:ascii="Theinhardt Bold" w:hAnsi="Theinhardt Bold"/>
          <w:b/>
          <w:color w:val="231F20"/>
          <w:spacing w:val="-1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E-Autos</w:t>
      </w:r>
      <w:r>
        <w:rPr>
          <w:rFonts w:ascii="Theinhardt Bold" w:hAnsi="Theinhardt Bold"/>
          <w:b/>
          <w:color w:val="231F20"/>
          <w:spacing w:val="-12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können</w:t>
      </w:r>
      <w:r>
        <w:rPr>
          <w:rFonts w:ascii="Theinhardt Regular" w:hAnsi="Theinhardt Regular"/>
          <w:color w:val="231F20"/>
          <w:spacing w:val="-1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mit</w:t>
      </w:r>
      <w:r>
        <w:rPr>
          <w:rFonts w:ascii="Theinhardt Regular" w:hAnsi="Theinhardt Regular"/>
          <w:color w:val="231F20"/>
          <w:spacing w:val="-1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dem</w:t>
      </w:r>
      <w:r>
        <w:rPr>
          <w:rFonts w:ascii="Theinhardt Regular" w:hAnsi="Theinhardt Regular"/>
          <w:color w:val="231F20"/>
          <w:spacing w:val="-11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Solarstromüberschuss</w:t>
      </w:r>
      <w:r>
        <w:rPr>
          <w:rFonts w:ascii="Theinhardt Regular" w:hAnsi="Theinhardt Regular"/>
          <w:color w:val="231F20"/>
          <w:spacing w:val="-11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von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260'000 </w:t>
      </w:r>
      <w:r>
        <w:rPr>
          <w:rFonts w:ascii="Theinhardt Regular" w:hAnsi="Theinhardt Regular"/>
          <w:color w:val="231F20"/>
          <w:spacing w:val="-2"/>
          <w:sz w:val="14"/>
        </w:rPr>
        <w:t>kWh/a</w:t>
      </w:r>
      <w:r>
        <w:rPr>
          <w:rFonts w:ascii="Theinhardt Regular" w:hAnsi="Theinhardt Regular"/>
          <w:color w:val="231F20"/>
          <w:sz w:val="14"/>
        </w:rPr>
        <w:t> jährlich 12'000 km </w:t>
      </w:r>
      <w:r>
        <w:rPr>
          <w:rFonts w:ascii="Theinhardt Regular" w:hAnsi="Theinhardt Regular"/>
          <w:color w:val="231F20"/>
          <w:spacing w:val="-1"/>
          <w:sz w:val="14"/>
        </w:rPr>
        <w:t>CO</w:t>
      </w:r>
      <w:r>
        <w:rPr>
          <w:rFonts w:ascii="Theinhardt Regular" w:hAnsi="Theinhardt Regular"/>
          <w:color w:val="231F20"/>
          <w:spacing w:val="-1"/>
          <w:position w:val="-4"/>
          <w:sz w:val="8"/>
        </w:rPr>
        <w:t>2</w:t>
      </w:r>
      <w:r>
        <w:rPr>
          <w:rFonts w:ascii="Theinhardt Regular" w:hAnsi="Theinhardt Regular"/>
          <w:color w:val="231F20"/>
          <w:spacing w:val="-1"/>
          <w:sz w:val="14"/>
        </w:rPr>
        <w:t>-frei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fahren</w:t>
      </w:r>
      <w:r>
        <w:rPr>
          <w:rFonts w:ascii="Theinhardt Regular" w:hAnsi="Theinhardt Regular"/>
          <w:sz w:val="14"/>
        </w:rPr>
      </w:r>
    </w:p>
    <w:p>
      <w:pPr>
        <w:spacing w:before="116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Planung/Bauleitung: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Tarcisi </w:t>
      </w:r>
      <w:r>
        <w:rPr>
          <w:rFonts w:ascii="Theinhardt Regular"/>
          <w:color w:val="231F20"/>
          <w:spacing w:val="2"/>
          <w:sz w:val="14"/>
        </w:rPr>
        <w:t>Maissen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Resgias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16,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7166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Trun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06" w:right="68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> 920 </w:t>
      </w:r>
      <w:r>
        <w:rPr>
          <w:rFonts w:ascii="Theinhardt Regular"/>
          <w:color w:val="231F20"/>
          <w:spacing w:val="-1"/>
          <w:sz w:val="14"/>
        </w:rPr>
        <w:t>23</w:t>
      </w:r>
      <w:r>
        <w:rPr>
          <w:rFonts w:ascii="Theinhardt Regular"/>
          <w:color w:val="231F20"/>
          <w:sz w:val="14"/>
        </w:rPr>
        <w:t> 20</w:t>
      </w:r>
      <w:hyperlink r:id="rId5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info@maissen-sa.ch,</w:t>
        </w:r>
      </w:hyperlink>
      <w:r>
        <w:rPr>
          <w:rFonts w:ascii="Theinhardt Regular"/>
          <w:color w:val="231F20"/>
          <w:spacing w:val="48"/>
          <w:sz w:val="14"/>
        </w:rPr>
        <w:t> </w:t>
      </w:r>
      <w:hyperlink r:id="rId6">
        <w:r>
          <w:rPr>
            <w:rFonts w:ascii="Theinhardt Regular"/>
            <w:color w:val="231F20"/>
            <w:spacing w:val="2"/>
            <w:sz w:val="14"/>
          </w:rPr>
          <w:t>www.maissen-sa.ch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PV-Anlagen: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Soller- </w:t>
      </w:r>
      <w:r>
        <w:rPr>
          <w:rFonts w:ascii="Theinhardt Regular"/>
          <w:color w:val="231F20"/>
          <w:spacing w:val="2"/>
          <w:sz w:val="14"/>
        </w:rPr>
        <w:t>Partner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Elektro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Paleu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Sura</w:t>
      </w:r>
      <w:r>
        <w:rPr>
          <w:rFonts w:ascii="Theinhardt Regular"/>
          <w:color w:val="231F20"/>
          <w:sz w:val="14"/>
        </w:rPr>
        <w:t> 8, </w:t>
      </w:r>
      <w:r>
        <w:rPr>
          <w:rFonts w:ascii="Theinhardt Regular"/>
          <w:color w:val="231F20"/>
          <w:spacing w:val="-3"/>
          <w:sz w:val="14"/>
        </w:rPr>
        <w:t>7013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Domat/Ems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06" w:right="77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630 </w:t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5</w:t>
      </w:r>
      <w:hyperlink r:id="rId7">
        <w:r>
          <w:rPr>
            <w:rFonts w:ascii="Theinhardt Regular"/>
            <w:color w:val="231F20"/>
            <w:spacing w:val="1"/>
            <w:sz w:val="14"/>
          </w:rPr>
          <w:t>0</w:t>
        </w:r>
        <w:r>
          <w:rPr>
            <w:rFonts w:ascii="Theinhardt Regular"/>
            <w:color w:val="231F20"/>
            <w:sz w:val="14"/>
          </w:rPr>
          <w:t>  </w:t>
        </w:r>
        <w:r>
          <w:rPr>
            <w:rFonts w:ascii="Theinhardt Regular"/>
            <w:color w:val="231F20"/>
            <w:spacing w:val="1"/>
            <w:sz w:val="14"/>
          </w:rPr>
          <w:t>info@soller-partner.ch,</w:t>
        </w:r>
      </w:hyperlink>
      <w:r>
        <w:rPr>
          <w:rFonts w:ascii="Theinhardt Regular"/>
          <w:color w:val="231F20"/>
          <w:spacing w:val="32"/>
          <w:sz w:val="14"/>
        </w:rPr>
        <w:t> </w:t>
      </w:r>
      <w:hyperlink r:id="rId8">
        <w:r>
          <w:rPr>
            <w:rFonts w:ascii="Theinhardt Regular"/>
            <w:color w:val="231F20"/>
            <w:spacing w:val="1"/>
            <w:sz w:val="14"/>
          </w:rPr>
          <w:t>www.soller-partner.ch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46"/>
        <w:ind w:left="106" w:right="79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Bouygues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E&amp;S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InTec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Swizzera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Helion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Luserte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Sud</w:t>
      </w:r>
      <w:r>
        <w:rPr>
          <w:rFonts w:ascii="Theinhardt Regular"/>
          <w:color w:val="231F20"/>
          <w:sz w:val="14"/>
        </w:rPr>
        <w:t> 8, </w:t>
      </w:r>
      <w:r>
        <w:rPr>
          <w:rFonts w:ascii="Theinhardt Regular"/>
          <w:color w:val="231F20"/>
          <w:spacing w:val="-1"/>
          <w:sz w:val="14"/>
        </w:rPr>
        <w:t>6572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Quartino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112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091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850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</w:t>
      </w:r>
      <w:hyperlink r:id="rId9">
        <w:r>
          <w:rPr>
            <w:rFonts w:ascii="Theinhardt Regular"/>
            <w:color w:val="231F20"/>
            <w:spacing w:val="-1"/>
            <w:sz w:val="14"/>
          </w:rPr>
          <w:t>2,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ticino@helion.ch,</w:t>
        </w:r>
      </w:hyperlink>
      <w:r>
        <w:rPr>
          <w:rFonts w:ascii="Theinhardt Regular"/>
          <w:color w:val="231F20"/>
          <w:spacing w:val="30"/>
          <w:sz w:val="14"/>
        </w:rPr>
        <w:t> </w:t>
      </w:r>
      <w:hyperlink r:id="rId10">
        <w:r>
          <w:rPr>
            <w:rFonts w:ascii="Theinhardt Regular"/>
            <w:color w:val="231F20"/>
            <w:spacing w:val="1"/>
            <w:sz w:val="14"/>
          </w:rPr>
          <w:t>www.helion-solar.ch</w:t>
        </w:r>
        <w:r>
          <w:rPr>
            <w:rFonts w:ascii="Theinhardt Regular"/>
            <w:sz w:val="14"/>
          </w:rPr>
        </w:r>
      </w:hyperlink>
    </w:p>
    <w:p>
      <w:pPr>
        <w:spacing w:after="0" w:line="160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8" w:space="114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4"/>
          <w:szCs w:val="4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18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59785" cy="608380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785" cy="60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6"/>
        <w:ind w:left="119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0094" cy="256336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4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52411" cy="255727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11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35"/>
        <w:ind w:left="119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9"/>
          <w:szCs w:val="9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9"/>
          <w:szCs w:val="9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Blick auf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Tarcisi</w:t>
      </w:r>
      <w:r>
        <w:rPr>
          <w:rFonts w:ascii="Theinhardt Bold" w:hAnsi="Theinhardt Bold"/>
          <w:b/>
          <w:color w:val="231F20"/>
          <w:sz w:val="14"/>
        </w:rPr>
        <w:t> Maissen SA mit ca.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55</w:t>
      </w:r>
      <w:r>
        <w:rPr>
          <w:rFonts w:ascii="Theinhardt Bold" w:hAnsi="Theinhardt Bold"/>
          <w:b/>
          <w:color w:val="231F20"/>
          <w:spacing w:val="2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Mitarbeitenden in 6 </w:t>
      </w:r>
      <w:r>
        <w:rPr>
          <w:rFonts w:ascii="Theinhardt Bold" w:hAnsi="Theinhardt Bold"/>
          <w:b/>
          <w:color w:val="231F20"/>
          <w:spacing w:val="-1"/>
          <w:sz w:val="14"/>
        </w:rPr>
        <w:t>Produktionshallen</w:t>
      </w:r>
      <w:r>
        <w:rPr>
          <w:rFonts w:ascii="Theinhardt Bold" w:hAnsi="Theinhardt Bold"/>
          <w:b/>
          <w:color w:val="231F20"/>
          <w:sz w:val="14"/>
        </w:rPr>
        <w:t> mit</w:t>
      </w:r>
      <w:r>
        <w:rPr>
          <w:rFonts w:ascii="Theinhardt Bold" w:hAnsi="Theinhardt Bold"/>
          <w:b/>
          <w:color w:val="231F20"/>
          <w:spacing w:val="4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PV-Modulen</w:t>
      </w:r>
      <w:r>
        <w:rPr>
          <w:rFonts w:ascii="Theinhardt Bold" w:hAnsi="Theinhardt Bold"/>
          <w:b/>
          <w:color w:val="231F20"/>
          <w:sz w:val="14"/>
        </w:rPr>
        <w:t> auf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Dächern.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PV-Anlagen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Holzbauunternehmung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produzieren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517’600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kWh/a;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Wärme-</w:t>
      </w:r>
      <w:r>
        <w:rPr>
          <w:rFonts w:ascii="Theinhardt Bold" w:hAnsi="Theinhardt Bold" w:cs="Theinhardt Bold" w:eastAsia="Theinhardt Bold"/>
          <w:b/>
          <w:bCs/>
          <w:color w:val="231F20"/>
          <w:spacing w:val="3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werden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Nachbarbauten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beheizt.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282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Teil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des Solarstromüberschusses von rund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260’000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kWh/a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wird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für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öffentliche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Solarstrom-Ladestation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verwendet.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051" w:space="521"/>
            <w:col w:w="3330" w:space="241"/>
            <w:col w:w="3567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19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0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7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51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9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6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3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0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maissen-sa.ch" TargetMode="External"/><Relationship Id="rId6" Type="http://schemas.openxmlformats.org/officeDocument/2006/relationships/hyperlink" Target="http://www.maissen-sa.ch/" TargetMode="External"/><Relationship Id="rId7" Type="http://schemas.openxmlformats.org/officeDocument/2006/relationships/hyperlink" Target="mailto:info@soller-partner.ch" TargetMode="External"/><Relationship Id="rId8" Type="http://schemas.openxmlformats.org/officeDocument/2006/relationships/hyperlink" Target="http://www.soller-partner.ch/" TargetMode="External"/><Relationship Id="rId9" Type="http://schemas.openxmlformats.org/officeDocument/2006/relationships/hyperlink" Target="mailto:ticino@helion.ch" TargetMode="External"/><Relationship Id="rId10" Type="http://schemas.openxmlformats.org/officeDocument/2006/relationships/hyperlink" Target="http://www.helion-solar.ch/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2019-10-03T16:09:49Z</dcterms:created>
  <dcterms:modified xsi:type="dcterms:W3CDTF">2019-10-03T16:09:49Z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2019-10-03T00:00:00Z</vt:filetime>
  </property>
</Properties>
</file>