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1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993pt;margin-top:13.647326pt;width:.1pt;height:.1pt;mso-position-horizontal-relative:page;mso-position-vertical-relative:paragraph;z-index:-6664" coordorigin="580,273" coordsize="2,2">
            <v:shape style="position:absolute;left:580;top:273;width:2;height:2" coordorigin="580,273" coordsize="0,0" path="m580,273l580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993pt;margin-top:25.147326pt;width:.1pt;height:.1pt;mso-position-horizontal-relative:page;mso-position-vertical-relative:paragraph;z-index:-6616" coordorigin="580,503" coordsize="2,2">
            <v:shape style="position:absolute;left:580;top:503;width:2;height:2" coordorigin="580,503" coordsize="0,0" path="m580,503l580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               </w:t>
      </w:r>
      <w:r>
        <w:rPr>
          <w:rFonts w:ascii="Theinhardt Heavy" w:hAnsi="Theinhardt Heavy"/>
          <w:b/>
          <w:color w:val="231F20"/>
          <w:spacing w:val="3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5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21-stöckige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Grosspeter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Tower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Basel/BS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verfügt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440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PV-Anlage,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alle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Fassadenseiten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nutzt.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Fassadenanlagen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100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Flachdachanlage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540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samt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252’000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903’500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28%.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Erdwärmesonden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gedeckt.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Sockel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Hotel,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Turm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Büroräumlich-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keiten genutzt.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23"/>
            <w:col w:w="804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5"/>
          <w:sz w:val="40"/>
        </w:rPr>
        <w:t>Solares</w:t>
      </w:r>
      <w:r>
        <w:rPr>
          <w:rFonts w:ascii="Theinhardt Black"/>
          <w:b/>
          <w:color w:val="0067B1"/>
          <w:sz w:val="40"/>
        </w:rPr>
        <w:t> Hochhaus Grosspeter Tower, 4052 Basel/BS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1"/>
        <w:spacing w:line="230" w:lineRule="exact" w:before="52"/>
        <w:ind w:right="0" w:firstLine="0"/>
        <w:jc w:val="both"/>
      </w:pP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verkehrsgünstiger</w:t>
      </w:r>
      <w:r>
        <w:rPr>
          <w:color w:val="231F20"/>
          <w:spacing w:val="4"/>
        </w:rPr>
        <w:t> </w:t>
      </w:r>
      <w:r>
        <w:rPr>
          <w:color w:val="231F20"/>
        </w:rPr>
        <w:t>Lage,</w:t>
      </w:r>
      <w:r>
        <w:rPr>
          <w:color w:val="231F20"/>
          <w:spacing w:val="4"/>
        </w:rPr>
        <w:t> </w:t>
      </w:r>
      <w:r>
        <w:rPr>
          <w:color w:val="231F20"/>
        </w:rPr>
        <w:t>nahe</w:t>
      </w:r>
      <w:r>
        <w:rPr>
          <w:color w:val="231F20"/>
          <w:spacing w:val="4"/>
        </w:rPr>
        <w:t> </w:t>
      </w:r>
      <w:r>
        <w:rPr>
          <w:color w:val="231F20"/>
        </w:rPr>
        <w:t>Autobahn</w:t>
      </w:r>
      <w:r>
        <w:rPr>
          <w:color w:val="231F20"/>
        </w:rPr>
        <w:t> und</w:t>
      </w:r>
      <w:r>
        <w:rPr>
          <w:color w:val="231F20"/>
          <w:spacing w:val="5"/>
        </w:rPr>
        <w:t> </w:t>
      </w:r>
      <w:r>
        <w:rPr>
          <w:color w:val="231F20"/>
        </w:rPr>
        <w:t>Bahnhof</w:t>
      </w:r>
      <w:r>
        <w:rPr>
          <w:color w:val="231F20"/>
          <w:spacing w:val="5"/>
        </w:rPr>
        <w:t> </w:t>
      </w:r>
      <w:r>
        <w:rPr>
          <w:color w:val="231F20"/>
        </w:rPr>
        <w:t>SBB,</w:t>
      </w:r>
      <w:r>
        <w:rPr>
          <w:color w:val="231F20"/>
          <w:spacing w:val="42"/>
        </w:rPr>
        <w:t> </w:t>
      </w:r>
      <w:r>
        <w:rPr>
          <w:color w:val="231F20"/>
        </w:rPr>
        <w:t>liegt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Grosspeter-</w:t>
      </w:r>
      <w:r>
        <w:rPr>
          <w:color w:val="231F20"/>
        </w:rPr>
        <w:t> Areal.</w:t>
      </w:r>
      <w:r>
        <w:rPr>
          <w:color w:val="231F20"/>
          <w:spacing w:val="44"/>
        </w:rPr>
        <w:t> </w:t>
      </w:r>
      <w:r>
        <w:rPr>
          <w:color w:val="231F20"/>
        </w:rPr>
        <w:t>Der</w:t>
      </w:r>
      <w:r>
        <w:rPr>
          <w:color w:val="231F20"/>
          <w:spacing w:val="45"/>
        </w:rPr>
        <w:t> </w:t>
      </w:r>
      <w:r>
        <w:rPr>
          <w:color w:val="231F20"/>
        </w:rPr>
        <w:t>sich</w:t>
      </w:r>
      <w:r>
        <w:rPr>
          <w:color w:val="231F20"/>
          <w:spacing w:val="44"/>
        </w:rPr>
        <w:t> </w:t>
      </w:r>
      <w:r>
        <w:rPr>
          <w:color w:val="231F20"/>
        </w:rPr>
        <w:t>darauf</w:t>
      </w:r>
      <w:r>
        <w:rPr>
          <w:color w:val="231F20"/>
          <w:spacing w:val="45"/>
        </w:rPr>
        <w:t> </w:t>
      </w:r>
      <w:r>
        <w:rPr>
          <w:color w:val="231F20"/>
        </w:rPr>
        <w:t>befindende</w:t>
      </w:r>
      <w:r>
        <w:rPr>
          <w:color w:val="231F20"/>
          <w:spacing w:val="45"/>
        </w:rPr>
        <w:t> </w:t>
      </w:r>
      <w:r>
        <w:rPr>
          <w:color w:val="231F20"/>
        </w:rPr>
        <w:t>Basler</w:t>
      </w:r>
      <w:r>
        <w:rPr>
          <w:color w:val="231F20"/>
        </w:rPr>
        <w:t> Grosspeter</w:t>
      </w:r>
      <w:r>
        <w:rPr>
          <w:color w:val="231F20"/>
          <w:spacing w:val="7"/>
        </w:rPr>
        <w:t> </w:t>
      </w:r>
      <w:r>
        <w:rPr>
          <w:color w:val="231F20"/>
        </w:rPr>
        <w:t>Tower</w:t>
      </w:r>
      <w:r>
        <w:rPr>
          <w:color w:val="231F20"/>
          <w:spacing w:val="7"/>
        </w:rPr>
        <w:t> </w:t>
      </w:r>
      <w:r>
        <w:rPr>
          <w:color w:val="231F20"/>
        </w:rPr>
        <w:t>beherbergt</w:t>
      </w:r>
      <w:r>
        <w:rPr>
          <w:color w:val="231F20"/>
          <w:spacing w:val="7"/>
        </w:rPr>
        <w:t> </w:t>
      </w:r>
      <w:r>
        <w:rPr>
          <w:color w:val="231F20"/>
        </w:rPr>
        <w:t>ein</w:t>
      </w:r>
      <w:r>
        <w:rPr>
          <w:color w:val="231F20"/>
          <w:spacing w:val="7"/>
        </w:rPr>
        <w:t> </w:t>
      </w:r>
      <w:r>
        <w:rPr>
          <w:color w:val="231F20"/>
        </w:rPr>
        <w:t>Hotel</w:t>
      </w:r>
      <w:r>
        <w:rPr>
          <w:color w:val="231F20"/>
          <w:spacing w:val="7"/>
        </w:rPr>
        <w:t> </w:t>
      </w:r>
      <w:r>
        <w:rPr>
          <w:color w:val="231F20"/>
        </w:rPr>
        <w:t>so-</w:t>
      </w:r>
      <w:r>
        <w:rPr>
          <w:color w:val="231F20"/>
        </w:rPr>
        <w:t> wie</w:t>
      </w:r>
      <w:r>
        <w:rPr>
          <w:color w:val="231F20"/>
          <w:spacing w:val="-5"/>
        </w:rPr>
        <w:t> </w:t>
      </w:r>
      <w:r>
        <w:rPr>
          <w:color w:val="231F20"/>
        </w:rPr>
        <w:t>Büroräumlichkeiten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</w:rPr>
        <w:t>nutzt</w:t>
      </w:r>
      <w:r>
        <w:rPr>
          <w:color w:val="231F20"/>
          <w:spacing w:val="-5"/>
        </w:rPr>
        <w:t> </w:t>
      </w:r>
      <w:r>
        <w:rPr>
          <w:color w:val="231F20"/>
        </w:rPr>
        <w:t>sämtliche</w:t>
      </w:r>
      <w:r>
        <w:rPr>
          <w:color w:val="231F20"/>
        </w:rPr>
        <w:t> Fassaden zur Solarstromerzeugung.</w:t>
      </w:r>
      <w:r>
        <w:rPr/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Solarmodule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sind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sorgfältig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integ-</w:t>
      </w:r>
      <w:r>
        <w:rPr>
          <w:rFonts w:ascii="Theinhardt Regular" w:hAnsi="Theinhardt Regular"/>
          <w:color w:val="231F20"/>
          <w:sz w:val="18"/>
        </w:rPr>
        <w:t> riert;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450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unterschiedliche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Modulgrössen</w:t>
      </w:r>
      <w:r>
        <w:rPr>
          <w:rFonts w:ascii="Theinhardt Regular" w:hAnsi="Theinhardt Regular"/>
          <w:color w:val="231F20"/>
          <w:sz w:val="18"/>
        </w:rPr>
        <w:t> mit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unterschiedlichen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PV-Substratgrössen</w:t>
      </w:r>
      <w:r>
        <w:rPr>
          <w:rFonts w:ascii="Theinhardt Regular" w:hAnsi="Theinhardt Regular"/>
          <w:color w:val="231F20"/>
          <w:sz w:val="18"/>
        </w:rPr>
        <w:t> und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Zellbreiten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sind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fassadenbündig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mon-</w:t>
      </w:r>
      <w:r>
        <w:rPr>
          <w:rFonts w:ascii="Theinhardt Regular" w:hAnsi="Theinhardt Regular"/>
          <w:color w:val="231F20"/>
          <w:sz w:val="18"/>
        </w:rPr>
        <w:t> tiert.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ganzflächige,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opake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PV-Fassade</w:t>
      </w:r>
      <w:r>
        <w:rPr>
          <w:rFonts w:ascii="Theinhardt Regular" w:hAnsi="Theinhardt Regular"/>
          <w:color w:val="231F20"/>
          <w:sz w:val="18"/>
        </w:rPr>
        <w:t> genügt</w:t>
      </w:r>
      <w:r>
        <w:rPr>
          <w:rFonts w:ascii="Theinhardt Regular" w:hAnsi="Theinhardt Regular"/>
          <w:color w:val="231F20"/>
          <w:spacing w:val="4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ästhetisch</w:t>
      </w:r>
      <w:r>
        <w:rPr>
          <w:rFonts w:ascii="Theinhardt Regular" w:hAnsi="Theinhardt Regular"/>
          <w:color w:val="231F20"/>
          <w:spacing w:val="4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hohen</w:t>
      </w:r>
      <w:r>
        <w:rPr>
          <w:rFonts w:ascii="Theinhardt Regular" w:hAnsi="Theinhardt Regular"/>
          <w:color w:val="231F20"/>
          <w:spacing w:val="4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Ansprüchen.</w:t>
      </w:r>
      <w:r>
        <w:rPr>
          <w:rFonts w:ascii="Theinhardt Regular" w:hAnsi="Theinhardt Regular"/>
          <w:color w:val="231F20"/>
          <w:sz w:val="18"/>
        </w:rPr>
        <w:t> Durch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vielen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grossen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Fenster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steigt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z w:val="18"/>
        </w:rPr>
        <w:t> Kühl-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Wärmebedarf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Gebäudes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er-</w:t>
      </w:r>
      <w:r>
        <w:rPr>
          <w:rFonts w:ascii="Theinhardt Regular" w:hAnsi="Theinhardt Regular"/>
          <w:color w:val="231F20"/>
          <w:sz w:val="18"/>
        </w:rPr>
        <w:t> heblich.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Leistung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aus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Dünnschichtzellen</w:t>
      </w:r>
      <w:r>
        <w:rPr>
          <w:rFonts w:ascii="Theinhardt Regular" w:hAnsi="Theinhardt Regular"/>
          <w:color w:val="231F20"/>
          <w:sz w:val="18"/>
        </w:rPr>
        <w:t> bestehenden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PV-Fassadenelementen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z w:val="18"/>
        </w:rPr>
        <w:t> gesamten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Hochhauses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inkl.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Sockelbe-</w:t>
      </w:r>
      <w:r>
        <w:rPr>
          <w:rFonts w:ascii="Theinhardt Regular" w:hAnsi="Theinhardt Regular"/>
          <w:color w:val="231F20"/>
          <w:sz w:val="18"/>
        </w:rPr>
        <w:t> reichs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beträgt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440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kWp.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Ergänzt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wird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z w:val="18"/>
        </w:rPr>
        <w:t> Anlage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mit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einem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100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kW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starken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Solar-</w:t>
      </w:r>
      <w:r>
        <w:rPr>
          <w:rFonts w:ascii="Theinhardt Regular" w:hAnsi="Theinhardt Regular"/>
          <w:color w:val="231F20"/>
          <w:sz w:val="18"/>
        </w:rPr>
        <w:t> kraftwerk auf dem Dach.</w:t>
      </w:r>
      <w:r>
        <w:rPr>
          <w:rFonts w:ascii="Theinhardt Regular" w:hAnsi="Theinhardt Regular"/>
          <w:sz w:val="18"/>
        </w:rPr>
      </w:r>
    </w:p>
    <w:p>
      <w:pPr>
        <w:spacing w:line="232" w:lineRule="auto" w:before="15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Die 540 kW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starke und 5’570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23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grosse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PV-Anlage</w:t>
      </w:r>
      <w:r>
        <w:rPr>
          <w:rFonts w:ascii="Theinhardt Regular" w:hAnsi="Theinhardt Regular" w:cs="Theinhardt Regular" w:eastAsia="Theinhardt Regular"/>
          <w:color w:val="231F20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erzeugt</w:t>
      </w:r>
      <w:r>
        <w:rPr>
          <w:rFonts w:ascii="Theinhardt Regular" w:hAnsi="Theinhardt Regular" w:cs="Theinhardt Regular" w:eastAsia="Theinhardt Regular"/>
          <w:color w:val="231F20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252’000</w:t>
      </w:r>
      <w:r>
        <w:rPr>
          <w:rFonts w:ascii="Theinhardt Regular" w:hAnsi="Theinhardt Regular" w:cs="Theinhardt Regular" w:eastAsia="Theinhardt Regular"/>
          <w:color w:val="231F20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kWh/a.</w:t>
      </w:r>
      <w:r>
        <w:rPr>
          <w:rFonts w:ascii="Theinhardt Regular" w:hAnsi="Theinhardt Regular" w:cs="Theinhardt Regular" w:eastAsia="Theinhardt Regular"/>
          <w:color w:val="231F20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Zum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Heizen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Kühlen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Gebäudes 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dient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ein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Erdsondenfeld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56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durchschnittlich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250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tiefen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Sonden.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saisonale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Geo-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speicher,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Sommer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ein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grösstenteils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freies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Kühlen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zulässt,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hochdruck-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seitig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transkritisch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geführte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Wärmepumpe/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Kältemaschinen</w:t>
      </w:r>
      <w:r>
        <w:rPr>
          <w:rFonts w:ascii="Theinhardt Regular" w:hAnsi="Theinhardt Regular" w:cs="Theinhardt Regular" w:eastAsia="Theinhardt Regular"/>
          <w:color w:val="231F20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ermöglichen</w:t>
      </w:r>
      <w:r>
        <w:rPr>
          <w:rFonts w:ascii="Theinhardt Regular" w:hAnsi="Theinhardt Regular" w:cs="Theinhardt Regular" w:eastAsia="Theinhardt Regular"/>
          <w:color w:val="231F20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color w:val="231F20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hohe</w:t>
      </w:r>
      <w:r>
        <w:rPr>
          <w:rFonts w:ascii="Theinhardt Regular" w:hAnsi="Theinhardt Regular" w:cs="Theinhardt Regular" w:eastAsia="Theinhardt Regular"/>
          <w:color w:val="231F20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Ar-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beitszahl.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Um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seinen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Gesamtenergiebedarf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903’500</w:t>
      </w:r>
      <w:r>
        <w:rPr>
          <w:rFonts w:ascii="Theinhardt Regular" w:hAnsi="Theinhardt Regular" w:cs="Theinhardt Regular" w:eastAsia="Theinhardt Regular"/>
          <w:color w:val="231F20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zu</w:t>
      </w:r>
      <w:r>
        <w:rPr>
          <w:rFonts w:ascii="Theinhardt Regular" w:hAnsi="Theinhardt Regular" w:cs="Theinhardt Regular" w:eastAsia="Theinhardt Regular"/>
          <w:color w:val="231F20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decken,</w:t>
      </w:r>
      <w:r>
        <w:rPr>
          <w:rFonts w:ascii="Theinhardt Regular" w:hAnsi="Theinhardt Regular" w:cs="Theinhardt Regular" w:eastAsia="Theinhardt Regular"/>
          <w:color w:val="231F20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benötigt</w:t>
      </w:r>
      <w:r>
        <w:rPr>
          <w:rFonts w:ascii="Theinhardt Regular" w:hAnsi="Theinhardt Regular" w:cs="Theinhardt Regular" w:eastAsia="Theinhardt Regular"/>
          <w:color w:val="231F20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Gebäude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Fremdenergiezufuhr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651’500</w:t>
      </w:r>
      <w:r>
        <w:rPr>
          <w:rFonts w:ascii="Theinhardt Regular" w:hAnsi="Theinhardt Regular" w:cs="Theinhardt Regular" w:eastAsia="Theinhardt Regular"/>
          <w:color w:val="231F20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kWh/a oder 72% des Gesamt-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energiebedarfs.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52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L’espace</w:t>
      </w:r>
      <w:r>
        <w:rPr>
          <w:color w:val="231F20"/>
          <w:spacing w:val="26"/>
        </w:rPr>
        <w:t> </w:t>
      </w:r>
      <w:r>
        <w:rPr>
          <w:color w:val="231F20"/>
        </w:rPr>
        <w:t>urbain</w:t>
      </w:r>
      <w:r>
        <w:rPr>
          <w:color w:val="231F20"/>
          <w:spacing w:val="27"/>
        </w:rPr>
        <w:t> </w:t>
      </w:r>
      <w:r>
        <w:rPr>
          <w:color w:val="231F20"/>
        </w:rPr>
        <w:t>Grosspeter</w:t>
      </w:r>
      <w:r>
        <w:rPr>
          <w:color w:val="231F20"/>
          <w:spacing w:val="26"/>
        </w:rPr>
        <w:t> </w:t>
      </w:r>
      <w:r>
        <w:rPr>
          <w:color w:val="231F20"/>
        </w:rPr>
        <w:t>est</w:t>
      </w:r>
      <w:r>
        <w:rPr>
          <w:color w:val="231F20"/>
          <w:spacing w:val="27"/>
        </w:rPr>
        <w:t> </w:t>
      </w:r>
      <w:r>
        <w:rPr>
          <w:color w:val="231F20"/>
        </w:rPr>
        <w:t>judicieuse-</w:t>
      </w:r>
      <w:r>
        <w:rPr>
          <w:color w:val="231F20"/>
        </w:rPr>
        <w:t> ment</w:t>
      </w:r>
      <w:r>
        <w:rPr>
          <w:color w:val="231F20"/>
          <w:spacing w:val="25"/>
        </w:rPr>
        <w:t> </w:t>
      </w:r>
      <w:r>
        <w:rPr>
          <w:color w:val="231F20"/>
        </w:rPr>
        <w:t>situé</w:t>
      </w:r>
      <w:r>
        <w:rPr>
          <w:color w:val="231F20"/>
          <w:spacing w:val="26"/>
        </w:rPr>
        <w:t> </w:t>
      </w:r>
      <w:r>
        <w:rPr>
          <w:color w:val="231F20"/>
        </w:rPr>
        <w:t>à</w:t>
      </w:r>
      <w:r>
        <w:rPr>
          <w:color w:val="231F20"/>
          <w:spacing w:val="25"/>
        </w:rPr>
        <w:t> </w:t>
      </w:r>
      <w:r>
        <w:rPr>
          <w:color w:val="231F20"/>
        </w:rPr>
        <w:t>proximité</w:t>
      </w:r>
      <w:r>
        <w:rPr>
          <w:color w:val="231F20"/>
          <w:spacing w:val="26"/>
        </w:rPr>
        <w:t> </w:t>
      </w:r>
      <w:r>
        <w:rPr>
          <w:color w:val="231F20"/>
        </w:rPr>
        <w:t>d’un</w:t>
      </w:r>
      <w:r>
        <w:rPr>
          <w:color w:val="231F20"/>
          <w:spacing w:val="26"/>
        </w:rPr>
        <w:t> </w:t>
      </w:r>
      <w:r>
        <w:rPr>
          <w:color w:val="231F20"/>
        </w:rPr>
        <w:t>accès</w:t>
      </w:r>
      <w:r>
        <w:rPr>
          <w:color w:val="231F20"/>
          <w:spacing w:val="25"/>
        </w:rPr>
        <w:t> </w:t>
      </w:r>
      <w:r>
        <w:rPr>
          <w:color w:val="231F20"/>
        </w:rPr>
        <w:t>direct</w:t>
      </w:r>
      <w:r>
        <w:rPr>
          <w:color w:val="231F20"/>
          <w:spacing w:val="26"/>
        </w:rPr>
        <w:t> </w:t>
      </w:r>
      <w:r>
        <w:rPr>
          <w:color w:val="231F20"/>
        </w:rPr>
        <w:t>à</w:t>
      </w:r>
      <w:r>
        <w:rPr>
          <w:color w:val="231F20"/>
        </w:rPr>
        <w:t> l’autoroute</w:t>
      </w:r>
      <w:r>
        <w:rPr>
          <w:color w:val="231F20"/>
          <w:spacing w:val="9"/>
        </w:rPr>
        <w:t> </w:t>
      </w:r>
      <w:r>
        <w:rPr>
          <w:color w:val="231F20"/>
        </w:rPr>
        <w:t>et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gare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Bâle.</w:t>
      </w:r>
      <w:r>
        <w:rPr>
          <w:color w:val="231F20"/>
          <w:spacing w:val="10"/>
        </w:rPr>
        <w:t> </w:t>
      </w:r>
      <w:r>
        <w:rPr>
          <w:color w:val="231F20"/>
        </w:rPr>
        <w:t>Partie</w:t>
      </w:r>
      <w:r>
        <w:rPr>
          <w:color w:val="231F20"/>
          <w:spacing w:val="9"/>
        </w:rPr>
        <w:t> </w:t>
      </w:r>
      <w:r>
        <w:rPr>
          <w:color w:val="231F20"/>
        </w:rPr>
        <w:t>inté-</w:t>
      </w:r>
      <w:r>
        <w:rPr>
          <w:color w:val="231F20"/>
        </w:rPr>
        <w:t> grante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ce</w:t>
      </w:r>
      <w:r>
        <w:rPr>
          <w:color w:val="231F20"/>
          <w:spacing w:val="-4"/>
        </w:rPr>
        <w:t> </w:t>
      </w:r>
      <w:r>
        <w:rPr>
          <w:color w:val="231F20"/>
        </w:rPr>
        <w:t>site,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Grosspeter</w:t>
      </w:r>
      <w:r>
        <w:rPr>
          <w:color w:val="231F20"/>
          <w:spacing w:val="-4"/>
        </w:rPr>
        <w:t> </w:t>
      </w:r>
      <w:r>
        <w:rPr>
          <w:color w:val="231F20"/>
        </w:rPr>
        <w:t>Tower</w:t>
      </w:r>
      <w:r>
        <w:rPr>
          <w:color w:val="231F20"/>
          <w:spacing w:val="-4"/>
        </w:rPr>
        <w:t> </w:t>
      </w:r>
      <w:r>
        <w:rPr>
          <w:color w:val="231F20"/>
        </w:rPr>
        <w:t>abrite</w:t>
      </w:r>
      <w:r>
        <w:rPr>
          <w:color w:val="231F20"/>
        </w:rPr>
        <w:t> un</w:t>
      </w:r>
      <w:r>
        <w:rPr>
          <w:color w:val="231F20"/>
          <w:spacing w:val="35"/>
        </w:rPr>
        <w:t> </w:t>
      </w:r>
      <w:r>
        <w:rPr>
          <w:color w:val="231F20"/>
        </w:rPr>
        <w:t>hôtel</w:t>
      </w:r>
      <w:r>
        <w:rPr>
          <w:color w:val="231F20"/>
          <w:spacing w:val="36"/>
        </w:rPr>
        <w:t> </w:t>
      </w:r>
      <w:r>
        <w:rPr>
          <w:color w:val="231F20"/>
        </w:rPr>
        <w:t>d’affaires</w:t>
      </w:r>
      <w:r>
        <w:rPr>
          <w:color w:val="231F20"/>
          <w:spacing w:val="35"/>
        </w:rPr>
        <w:t> </w:t>
      </w:r>
      <w:r>
        <w:rPr>
          <w:color w:val="231F20"/>
        </w:rPr>
        <w:t>et</w:t>
      </w:r>
      <w:r>
        <w:rPr>
          <w:color w:val="231F20"/>
          <w:spacing w:val="36"/>
        </w:rPr>
        <w:t> </w:t>
      </w:r>
      <w:r>
        <w:rPr>
          <w:color w:val="231F20"/>
        </w:rPr>
        <w:t>des</w:t>
      </w:r>
      <w:r>
        <w:rPr>
          <w:color w:val="231F20"/>
          <w:spacing w:val="36"/>
        </w:rPr>
        <w:t> </w:t>
      </w:r>
      <w:r>
        <w:rPr>
          <w:color w:val="231F20"/>
        </w:rPr>
        <w:t>bureaux.</w:t>
      </w:r>
      <w:r>
        <w:rPr>
          <w:color w:val="231F20"/>
          <w:spacing w:val="35"/>
        </w:rPr>
        <w:t> </w:t>
      </w:r>
      <w:r>
        <w:rPr>
          <w:color w:val="231F20"/>
        </w:rPr>
        <w:t>Toutes</w:t>
      </w:r>
      <w:r>
        <w:rPr>
          <w:color w:val="231F20"/>
        </w:rPr>
        <w:t> les</w:t>
      </w:r>
      <w:r>
        <w:rPr>
          <w:color w:val="231F20"/>
          <w:spacing w:val="36"/>
        </w:rPr>
        <w:t> </w:t>
      </w:r>
      <w:r>
        <w:rPr>
          <w:color w:val="231F20"/>
        </w:rPr>
        <w:t>façades</w:t>
      </w:r>
      <w:r>
        <w:rPr>
          <w:color w:val="231F20"/>
          <w:spacing w:val="37"/>
        </w:rPr>
        <w:t> </w:t>
      </w:r>
      <w:r>
        <w:rPr>
          <w:color w:val="231F20"/>
        </w:rPr>
        <w:t>servent</w:t>
      </w:r>
      <w:r>
        <w:rPr>
          <w:color w:val="231F20"/>
          <w:spacing w:val="36"/>
        </w:rPr>
        <w:t> </w:t>
      </w:r>
      <w:r>
        <w:rPr>
          <w:color w:val="231F20"/>
        </w:rPr>
        <w:t>à</w:t>
      </w:r>
      <w:r>
        <w:rPr>
          <w:color w:val="231F20"/>
          <w:spacing w:val="37"/>
        </w:rPr>
        <w:t> </w:t>
      </w:r>
      <w:r>
        <w:rPr>
          <w:color w:val="231F20"/>
        </w:rPr>
        <w:t>produire</w:t>
      </w:r>
      <w:r>
        <w:rPr>
          <w:color w:val="231F20"/>
          <w:spacing w:val="37"/>
        </w:rPr>
        <w:t> </w:t>
      </w:r>
      <w:r>
        <w:rPr>
          <w:color w:val="231F20"/>
        </w:rPr>
        <w:t>du</w:t>
      </w:r>
      <w:r>
        <w:rPr>
          <w:color w:val="231F20"/>
          <w:spacing w:val="36"/>
        </w:rPr>
        <w:t> </w:t>
      </w:r>
      <w:r>
        <w:rPr>
          <w:color w:val="231F20"/>
        </w:rPr>
        <w:t>courant</w:t>
      </w:r>
      <w:r>
        <w:rPr>
          <w:color w:val="231F20"/>
        </w:rPr>
        <w:t> solaire.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</w:rPr>
        <w:t>Les</w:t>
      </w:r>
      <w:r>
        <w:rPr>
          <w:color w:val="231F20"/>
          <w:spacing w:val="10"/>
        </w:rPr>
        <w:t> </w:t>
      </w:r>
      <w:r>
        <w:rPr>
          <w:color w:val="231F20"/>
        </w:rPr>
        <w:t>450</w:t>
      </w:r>
      <w:r>
        <w:rPr>
          <w:color w:val="231F20"/>
          <w:spacing w:val="10"/>
        </w:rPr>
        <w:t> </w:t>
      </w:r>
      <w:r>
        <w:rPr>
          <w:color w:val="231F20"/>
        </w:rPr>
        <w:t>modules</w:t>
      </w:r>
      <w:r>
        <w:rPr>
          <w:color w:val="231F20"/>
          <w:spacing w:val="10"/>
        </w:rPr>
        <w:t> </w:t>
      </w:r>
      <w:r>
        <w:rPr>
          <w:color w:val="231F20"/>
        </w:rPr>
        <w:t>solaires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différentes</w:t>
      </w:r>
      <w:r>
        <w:rPr>
          <w:color w:val="231F20"/>
        </w:rPr>
        <w:t> tailles,</w:t>
      </w:r>
      <w:r>
        <w:rPr>
          <w:color w:val="231F20"/>
          <w:spacing w:val="15"/>
        </w:rPr>
        <w:t> </w:t>
      </w:r>
      <w:r>
        <w:rPr>
          <w:color w:val="231F20"/>
        </w:rPr>
        <w:t>avec</w:t>
      </w:r>
      <w:r>
        <w:rPr>
          <w:color w:val="231F20"/>
          <w:spacing w:val="15"/>
        </w:rPr>
        <w:t> </w:t>
      </w:r>
      <w:r>
        <w:rPr>
          <w:color w:val="231F20"/>
        </w:rPr>
        <w:t>plusieurs</w:t>
      </w:r>
      <w:r>
        <w:rPr>
          <w:color w:val="231F20"/>
          <w:spacing w:val="15"/>
        </w:rPr>
        <w:t> </w:t>
      </w:r>
      <w:r>
        <w:rPr>
          <w:color w:val="231F20"/>
        </w:rPr>
        <w:t>dimensions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subst-</w:t>
      </w:r>
      <w:r>
        <w:rPr>
          <w:color w:val="231F20"/>
        </w:rPr>
        <w:t> rat</w:t>
      </w:r>
      <w:r>
        <w:rPr>
          <w:color w:val="231F20"/>
          <w:spacing w:val="7"/>
        </w:rPr>
        <w:t> </w:t>
      </w:r>
      <w:r>
        <w:rPr>
          <w:color w:val="231F20"/>
        </w:rPr>
        <w:t>PV</w:t>
      </w:r>
      <w:r>
        <w:rPr>
          <w:color w:val="231F20"/>
          <w:spacing w:val="7"/>
        </w:rPr>
        <w:t> </w:t>
      </w:r>
      <w:r>
        <w:rPr>
          <w:color w:val="231F20"/>
        </w:rPr>
        <w:t>et</w:t>
      </w:r>
      <w:r>
        <w:rPr>
          <w:color w:val="231F20"/>
          <w:spacing w:val="7"/>
        </w:rPr>
        <w:t> </w:t>
      </w:r>
      <w:r>
        <w:rPr>
          <w:color w:val="231F20"/>
        </w:rPr>
        <w:t>largeurs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cellules,</w:t>
      </w:r>
      <w:r>
        <w:rPr>
          <w:color w:val="231F20"/>
          <w:spacing w:val="7"/>
        </w:rPr>
        <w:t> </w:t>
      </w:r>
      <w:r>
        <w:rPr>
          <w:color w:val="231F20"/>
        </w:rPr>
        <w:t>sont</w:t>
      </w:r>
      <w:r>
        <w:rPr>
          <w:color w:val="231F20"/>
          <w:spacing w:val="7"/>
        </w:rPr>
        <w:t> </w:t>
      </w:r>
      <w:r>
        <w:rPr>
          <w:color w:val="231F20"/>
        </w:rPr>
        <w:t>soigneu-</w:t>
      </w:r>
      <w:r>
        <w:rPr>
          <w:color w:val="231F20"/>
        </w:rPr>
        <w:t> sement</w:t>
      </w:r>
      <w:r>
        <w:rPr>
          <w:color w:val="231F20"/>
          <w:spacing w:val="7"/>
        </w:rPr>
        <w:t> </w:t>
      </w:r>
      <w:r>
        <w:rPr>
          <w:color w:val="231F20"/>
        </w:rPr>
        <w:t>disposés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  <w:r>
        <w:rPr>
          <w:color w:val="231F20"/>
          <w:spacing w:val="7"/>
        </w:rPr>
        <w:t> </w:t>
      </w:r>
      <w:r>
        <w:rPr>
          <w:color w:val="231F20"/>
        </w:rPr>
        <w:t>fleur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façade.</w:t>
      </w:r>
      <w:r>
        <w:rPr>
          <w:color w:val="231F20"/>
          <w:spacing w:val="7"/>
        </w:rPr>
        <w:t> </w:t>
      </w:r>
      <w:r>
        <w:rPr>
          <w:color w:val="231F20"/>
        </w:rPr>
        <w:t>Toute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</w:rPr>
        <w:t> surface</w:t>
      </w:r>
      <w:r>
        <w:rPr>
          <w:color w:val="231F20"/>
          <w:spacing w:val="11"/>
        </w:rPr>
        <w:t> </w:t>
      </w:r>
      <w:r>
        <w:rPr>
          <w:color w:val="231F20"/>
        </w:rPr>
        <w:t>PV</w:t>
      </w:r>
      <w:r>
        <w:rPr>
          <w:color w:val="231F20"/>
          <w:spacing w:val="11"/>
        </w:rPr>
        <w:t> </w:t>
      </w:r>
      <w:r>
        <w:rPr>
          <w:color w:val="231F20"/>
        </w:rPr>
        <w:t>opaque</w:t>
      </w:r>
      <w:r>
        <w:rPr>
          <w:color w:val="231F20"/>
          <w:spacing w:val="11"/>
        </w:rPr>
        <w:t> </w:t>
      </w:r>
      <w:r>
        <w:rPr>
          <w:color w:val="231F20"/>
        </w:rPr>
        <w:t>répond</w:t>
      </w:r>
      <w:r>
        <w:rPr>
          <w:color w:val="231F20"/>
          <w:spacing w:val="11"/>
        </w:rPr>
        <w:t> </w:t>
      </w:r>
      <w:r>
        <w:rPr>
          <w:color w:val="231F20"/>
        </w:rPr>
        <w:t>à</w:t>
      </w:r>
      <w:r>
        <w:rPr>
          <w:color w:val="231F20"/>
          <w:spacing w:val="11"/>
        </w:rPr>
        <w:t> </w:t>
      </w:r>
      <w:r>
        <w:rPr>
          <w:color w:val="231F20"/>
        </w:rPr>
        <w:t>des</w:t>
      </w:r>
      <w:r>
        <w:rPr>
          <w:color w:val="231F20"/>
          <w:spacing w:val="11"/>
        </w:rPr>
        <w:t> </w:t>
      </w:r>
      <w:r>
        <w:rPr>
          <w:color w:val="231F20"/>
        </w:rPr>
        <w:t>exigences</w:t>
      </w:r>
      <w:r>
        <w:rPr>
          <w:color w:val="231F20"/>
        </w:rPr>
        <w:t> esthétiques</w:t>
      </w:r>
      <w:r>
        <w:rPr>
          <w:color w:val="231F20"/>
          <w:spacing w:val="3"/>
        </w:rPr>
        <w:t> </w:t>
      </w:r>
      <w:r>
        <w:rPr>
          <w:color w:val="231F20"/>
        </w:rPr>
        <w:t>élevées.</w:t>
      </w:r>
      <w:r>
        <w:rPr>
          <w:color w:val="231F20"/>
          <w:spacing w:val="3"/>
        </w:rPr>
        <w:t> </w:t>
      </w:r>
      <w:r>
        <w:rPr>
          <w:color w:val="231F20"/>
        </w:rPr>
        <w:t>Mais</w:t>
      </w:r>
      <w:r>
        <w:rPr>
          <w:color w:val="231F20"/>
          <w:spacing w:val="3"/>
        </w:rPr>
        <w:t> </w:t>
      </w:r>
      <w:r>
        <w:rPr>
          <w:color w:val="231F20"/>
        </w:rPr>
        <w:t>les</w:t>
      </w:r>
      <w:r>
        <w:rPr>
          <w:color w:val="231F20"/>
          <w:spacing w:val="3"/>
        </w:rPr>
        <w:t> </w:t>
      </w:r>
      <w:r>
        <w:rPr>
          <w:color w:val="231F20"/>
        </w:rPr>
        <w:t>besoins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</w:rPr>
        <w:t> froid</w:t>
      </w:r>
      <w:r>
        <w:rPr>
          <w:color w:val="231F20"/>
          <w:spacing w:val="27"/>
        </w:rPr>
        <w:t> </w:t>
      </w:r>
      <w:r>
        <w:rPr>
          <w:color w:val="231F20"/>
        </w:rPr>
        <w:t>et</w:t>
      </w:r>
      <w:r>
        <w:rPr>
          <w:color w:val="231F20"/>
          <w:spacing w:val="28"/>
        </w:rPr>
        <w:t> </w:t>
      </w:r>
      <w:r>
        <w:rPr>
          <w:color w:val="231F20"/>
        </w:rPr>
        <w:t>chaleur</w:t>
      </w:r>
      <w:r>
        <w:rPr>
          <w:color w:val="231F20"/>
          <w:spacing w:val="27"/>
        </w:rPr>
        <w:t> </w:t>
      </w:r>
      <w:r>
        <w:rPr>
          <w:color w:val="231F20"/>
        </w:rPr>
        <w:t>grimpent</w:t>
      </w:r>
      <w:r>
        <w:rPr>
          <w:color w:val="231F20"/>
          <w:spacing w:val="28"/>
        </w:rPr>
        <w:t> </w:t>
      </w:r>
      <w:r>
        <w:rPr>
          <w:color w:val="231F20"/>
        </w:rPr>
        <w:t>très</w:t>
      </w:r>
      <w:r>
        <w:rPr>
          <w:color w:val="231F20"/>
          <w:spacing w:val="28"/>
        </w:rPr>
        <w:t> </w:t>
      </w:r>
      <w:r>
        <w:rPr>
          <w:color w:val="231F20"/>
        </w:rPr>
        <w:t>vite</w:t>
      </w:r>
      <w:r>
        <w:rPr>
          <w:color w:val="231F20"/>
          <w:spacing w:val="27"/>
        </w:rPr>
        <w:t> </w:t>
      </w:r>
      <w:r>
        <w:rPr>
          <w:color w:val="231F20"/>
        </w:rPr>
        <w:t>à</w:t>
      </w:r>
      <w:r>
        <w:rPr>
          <w:color w:val="231F20"/>
          <w:spacing w:val="28"/>
        </w:rPr>
        <w:t> </w:t>
      </w:r>
      <w:r>
        <w:rPr>
          <w:color w:val="231F20"/>
        </w:rPr>
        <w:t>cause</w:t>
      </w:r>
      <w:r>
        <w:rPr>
          <w:color w:val="231F20"/>
        </w:rPr>
        <w:t> des nombreuses </w:t>
      </w:r>
      <w:r>
        <w:rPr>
          <w:color w:val="231F20"/>
          <w:spacing w:val="-1"/>
        </w:rPr>
        <w:t>grandes</w:t>
      </w:r>
      <w:r>
        <w:rPr>
          <w:color w:val="231F20"/>
        </w:rPr>
        <w:t> fenêtres.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</w:rPr>
        <w:t>Constitués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cellules</w:t>
      </w:r>
      <w:r>
        <w:rPr>
          <w:color w:val="231F20"/>
          <w:spacing w:val="33"/>
        </w:rPr>
        <w:t> </w:t>
      </w:r>
      <w:r>
        <w:rPr>
          <w:color w:val="231F20"/>
        </w:rPr>
        <w:t>à</w:t>
      </w:r>
      <w:r>
        <w:rPr>
          <w:color w:val="231F20"/>
          <w:spacing w:val="34"/>
        </w:rPr>
        <w:t> </w:t>
      </w:r>
      <w:r>
        <w:rPr>
          <w:color w:val="231F20"/>
        </w:rPr>
        <w:t>couche</w:t>
      </w:r>
      <w:r>
        <w:rPr>
          <w:color w:val="231F20"/>
          <w:spacing w:val="34"/>
        </w:rPr>
        <w:t> </w:t>
      </w:r>
      <w:r>
        <w:rPr>
          <w:color w:val="231F20"/>
        </w:rPr>
        <w:t>mince,</w:t>
      </w:r>
      <w:r>
        <w:rPr>
          <w:color w:val="231F20"/>
        </w:rPr>
        <w:t> les</w:t>
      </w:r>
      <w:r>
        <w:rPr>
          <w:color w:val="231F20"/>
          <w:spacing w:val="12"/>
        </w:rPr>
        <w:t> </w:t>
      </w:r>
      <w:r>
        <w:rPr>
          <w:color w:val="231F20"/>
        </w:rPr>
        <w:t>éléments</w:t>
      </w:r>
      <w:r>
        <w:rPr>
          <w:color w:val="231F20"/>
          <w:spacing w:val="12"/>
        </w:rPr>
        <w:t> </w:t>
      </w:r>
      <w:r>
        <w:rPr>
          <w:color w:val="231F20"/>
        </w:rPr>
        <w:t>PV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façade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l’édifice,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c.</w:t>
      </w:r>
      <w:r>
        <w:rPr>
          <w:color w:val="231F20"/>
        </w:rPr>
        <w:t> ceux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sa</w:t>
      </w:r>
      <w:r>
        <w:rPr>
          <w:color w:val="231F20"/>
          <w:spacing w:val="39"/>
        </w:rPr>
        <w:t> </w:t>
      </w:r>
      <w:r>
        <w:rPr>
          <w:color w:val="231F20"/>
        </w:rPr>
        <w:t>zone</w:t>
      </w:r>
      <w:r>
        <w:rPr>
          <w:color w:val="231F20"/>
          <w:spacing w:val="40"/>
        </w:rPr>
        <w:t> </w:t>
      </w:r>
      <w:r>
        <w:rPr>
          <w:color w:val="231F20"/>
        </w:rPr>
        <w:t>inférieure,</w:t>
      </w:r>
      <w:r>
        <w:rPr>
          <w:color w:val="231F20"/>
          <w:spacing w:val="40"/>
        </w:rPr>
        <w:t> </w:t>
      </w:r>
      <w:r>
        <w:rPr>
          <w:color w:val="231F20"/>
        </w:rPr>
        <w:t>totalisent</w:t>
      </w:r>
      <w:r>
        <w:rPr>
          <w:color w:val="231F20"/>
          <w:spacing w:val="39"/>
        </w:rPr>
        <w:t> </w:t>
      </w:r>
      <w:r>
        <w:rPr>
          <w:color w:val="231F20"/>
        </w:rPr>
        <w:t>une</w:t>
      </w:r>
      <w:r>
        <w:rPr>
          <w:color w:val="231F20"/>
        </w:rPr>
        <w:t> puissance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440</w:t>
      </w:r>
      <w:r>
        <w:rPr>
          <w:color w:val="231F20"/>
          <w:spacing w:val="2"/>
        </w:rPr>
        <w:t> </w:t>
      </w:r>
      <w:r>
        <w:rPr>
          <w:color w:val="231F20"/>
        </w:rPr>
        <w:t>kWc.</w:t>
      </w:r>
      <w:r>
        <w:rPr>
          <w:color w:val="231F20"/>
          <w:spacing w:val="2"/>
        </w:rPr>
        <w:t> </w:t>
      </w:r>
      <w:r>
        <w:rPr>
          <w:color w:val="231F20"/>
        </w:rPr>
        <w:t>Sur</w:t>
      </w:r>
      <w:r>
        <w:rPr>
          <w:color w:val="231F20"/>
          <w:spacing w:val="2"/>
        </w:rPr>
        <w:t> </w:t>
      </w:r>
      <w:r>
        <w:rPr>
          <w:color w:val="231F20"/>
        </w:rPr>
        <w:t>le</w:t>
      </w:r>
      <w:r>
        <w:rPr>
          <w:color w:val="231F20"/>
          <w:spacing w:val="2"/>
        </w:rPr>
        <w:t> </w:t>
      </w:r>
      <w:r>
        <w:rPr>
          <w:color w:val="231F20"/>
        </w:rPr>
        <w:t>toit,</w:t>
      </w:r>
      <w:r>
        <w:rPr>
          <w:color w:val="231F20"/>
          <w:spacing w:val="2"/>
        </w:rPr>
        <w:t> </w:t>
      </w:r>
      <w:r>
        <w:rPr>
          <w:color w:val="231F20"/>
        </w:rPr>
        <w:t>une</w:t>
      </w:r>
      <w:r>
        <w:rPr>
          <w:color w:val="231F20"/>
          <w:spacing w:val="2"/>
        </w:rPr>
        <w:t> </w:t>
      </w:r>
      <w:r>
        <w:rPr>
          <w:color w:val="231F20"/>
        </w:rPr>
        <w:t>cen-</w:t>
      </w:r>
      <w:r>
        <w:rPr>
          <w:color w:val="231F20"/>
        </w:rPr>
        <w:t> trale</w:t>
      </w:r>
      <w:r>
        <w:rPr>
          <w:color w:val="231F20"/>
          <w:spacing w:val="47"/>
        </w:rPr>
        <w:t> </w:t>
      </w:r>
      <w:r>
        <w:rPr>
          <w:color w:val="231F20"/>
        </w:rPr>
        <w:t>solaire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100</w:t>
      </w:r>
      <w:r>
        <w:rPr>
          <w:color w:val="231F20"/>
          <w:spacing w:val="48"/>
        </w:rPr>
        <w:t> </w:t>
      </w:r>
      <w:r>
        <w:rPr>
          <w:color w:val="231F20"/>
        </w:rPr>
        <w:t>kWc</w:t>
      </w:r>
      <w:r>
        <w:rPr>
          <w:color w:val="231F20"/>
          <w:spacing w:val="48"/>
        </w:rPr>
        <w:t> </w:t>
      </w:r>
      <w:r>
        <w:rPr>
          <w:color w:val="231F20"/>
        </w:rPr>
        <w:t>complète</w:t>
      </w:r>
      <w:r>
        <w:rPr>
          <w:color w:val="231F20"/>
          <w:spacing w:val="47"/>
        </w:rPr>
        <w:t> </w:t>
      </w:r>
      <w:r>
        <w:rPr>
          <w:color w:val="231F20"/>
        </w:rPr>
        <w:t>cette</w:t>
      </w:r>
      <w:r>
        <w:rPr>
          <w:color w:val="231F20"/>
        </w:rPr>
        <w:t> infrastructure.</w:t>
      </w:r>
      <w:r>
        <w:rPr>
          <w:i w:val="0"/>
        </w:rPr>
      </w:r>
    </w:p>
    <w:p>
      <w:pPr>
        <w:pStyle w:val="BodyText"/>
        <w:spacing w:line="232" w:lineRule="auto" w:before="15"/>
        <w:ind w:right="0"/>
        <w:jc w:val="both"/>
        <w:rPr>
          <w:i w:val="0"/>
        </w:rPr>
      </w:pPr>
      <w:r>
        <w:rPr>
          <w:color w:val="231F20"/>
        </w:rPr>
        <w:t>L’installation</w:t>
      </w:r>
      <w:r>
        <w:rPr>
          <w:color w:val="231F20"/>
          <w:spacing w:val="-7"/>
        </w:rPr>
        <w:t> </w:t>
      </w:r>
      <w:r>
        <w:rPr>
          <w:color w:val="231F20"/>
        </w:rPr>
        <w:t>PV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540</w:t>
      </w:r>
      <w:r>
        <w:rPr>
          <w:color w:val="231F20"/>
          <w:spacing w:val="-7"/>
        </w:rPr>
        <w:t> </w:t>
      </w:r>
      <w:r>
        <w:rPr>
          <w:color w:val="231F20"/>
        </w:rPr>
        <w:t>kWc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5’570</w:t>
      </w:r>
      <w:r>
        <w:rPr>
          <w:color w:val="231F20"/>
          <w:spacing w:val="-7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w w:val="104"/>
          <w:position w:val="6"/>
          <w:sz w:val="10"/>
          <w:szCs w:val="10"/>
        </w:rPr>
        <w:t> </w:t>
      </w:r>
      <w:r>
        <w:rPr>
          <w:color w:val="231F20"/>
        </w:rPr>
        <w:t>produit</w:t>
      </w:r>
      <w:r>
        <w:rPr>
          <w:color w:val="231F20"/>
          <w:spacing w:val="18"/>
        </w:rPr>
        <w:t> </w:t>
      </w:r>
      <w:r>
        <w:rPr>
          <w:color w:val="231F20"/>
        </w:rPr>
        <w:t>252’000</w:t>
      </w:r>
      <w:r>
        <w:rPr>
          <w:color w:val="231F20"/>
          <w:spacing w:val="18"/>
        </w:rPr>
        <w:t> </w:t>
      </w:r>
      <w:r>
        <w:rPr>
          <w:color w:val="231F20"/>
        </w:rPr>
        <w:t>kWh/a.</w:t>
      </w:r>
      <w:r>
        <w:rPr>
          <w:color w:val="231F20"/>
          <w:spacing w:val="18"/>
        </w:rPr>
        <w:t> </w:t>
      </w:r>
      <w:r>
        <w:rPr>
          <w:color w:val="231F20"/>
        </w:rPr>
        <w:t>Puisant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chaleur</w:t>
      </w:r>
      <w:r>
        <w:rPr>
          <w:color w:val="231F20"/>
        </w:rPr>
        <w:t> à</w:t>
      </w:r>
      <w:r>
        <w:rPr>
          <w:color w:val="231F20"/>
          <w:spacing w:val="28"/>
        </w:rPr>
        <w:t> </w:t>
      </w:r>
      <w:r>
        <w:rPr>
          <w:color w:val="231F20"/>
        </w:rPr>
        <w:t>250</w:t>
      </w:r>
      <w:r>
        <w:rPr>
          <w:color w:val="231F20"/>
          <w:spacing w:val="29"/>
        </w:rPr>
        <w:t> </w:t>
      </w:r>
      <w:r>
        <w:rPr>
          <w:color w:val="231F20"/>
        </w:rPr>
        <w:t>m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profondeur,</w:t>
      </w:r>
      <w:r>
        <w:rPr>
          <w:color w:val="231F20"/>
          <w:spacing w:val="29"/>
        </w:rPr>
        <w:t> </w:t>
      </w:r>
      <w:r>
        <w:rPr>
          <w:color w:val="231F20"/>
        </w:rPr>
        <w:t>un</w:t>
      </w:r>
      <w:r>
        <w:rPr>
          <w:color w:val="231F20"/>
          <w:spacing w:val="28"/>
        </w:rPr>
        <w:t> </w:t>
      </w:r>
      <w:r>
        <w:rPr>
          <w:color w:val="231F20"/>
        </w:rPr>
        <w:t>champ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56</w:t>
      </w:r>
      <w:r>
        <w:rPr>
          <w:color w:val="231F20"/>
        </w:rPr>
        <w:t> sondes</w:t>
      </w:r>
      <w:r>
        <w:rPr>
          <w:color w:val="231F20"/>
          <w:spacing w:val="-15"/>
        </w:rPr>
        <w:t> </w:t>
      </w:r>
      <w:r>
        <w:rPr>
          <w:color w:val="231F20"/>
        </w:rPr>
        <w:t>géothermiques</w:t>
      </w:r>
      <w:r>
        <w:rPr>
          <w:color w:val="231F20"/>
          <w:spacing w:val="-15"/>
        </w:rPr>
        <w:t> </w:t>
      </w:r>
      <w:r>
        <w:rPr>
          <w:color w:val="231F20"/>
        </w:rPr>
        <w:t>alimente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chauffage</w:t>
      </w:r>
      <w:r>
        <w:rPr>
          <w:color w:val="231F20"/>
        </w:rPr>
        <w:t> et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climatisation.</w:t>
      </w:r>
      <w:r>
        <w:rPr>
          <w:color w:val="231F20"/>
          <w:spacing w:val="-11"/>
        </w:rPr>
        <w:t> </w:t>
      </w:r>
      <w:r>
        <w:rPr>
          <w:color w:val="231F20"/>
        </w:rPr>
        <w:t>L’accumulateur</w:t>
      </w:r>
      <w:r>
        <w:rPr>
          <w:color w:val="231F20"/>
          <w:spacing w:val="-11"/>
        </w:rPr>
        <w:t> </w:t>
      </w:r>
      <w:r>
        <w:rPr>
          <w:color w:val="231F20"/>
        </w:rPr>
        <w:t>saisonnier</w:t>
      </w:r>
      <w:r>
        <w:rPr>
          <w:color w:val="231F20"/>
        </w:rPr>
        <w:t> de</w:t>
      </w:r>
      <w:r>
        <w:rPr>
          <w:color w:val="231F20"/>
          <w:spacing w:val="5"/>
        </w:rPr>
        <w:t> </w:t>
      </w:r>
      <w:r>
        <w:rPr>
          <w:color w:val="231F20"/>
        </w:rPr>
        <w:t>chaleur,</w:t>
      </w:r>
      <w:r>
        <w:rPr>
          <w:color w:val="231F20"/>
          <w:spacing w:val="5"/>
        </w:rPr>
        <w:t> </w:t>
      </w:r>
      <w:r>
        <w:rPr>
          <w:color w:val="231F20"/>
        </w:rPr>
        <w:t>qui</w:t>
      </w:r>
      <w:r>
        <w:rPr>
          <w:color w:val="231F20"/>
          <w:spacing w:val="5"/>
        </w:rPr>
        <w:t> </w:t>
      </w:r>
      <w:r>
        <w:rPr>
          <w:color w:val="231F20"/>
        </w:rPr>
        <w:t>libère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majorité</w:t>
      </w:r>
      <w:r>
        <w:rPr>
          <w:color w:val="231F20"/>
          <w:spacing w:val="5"/>
        </w:rPr>
        <w:t> </w:t>
      </w:r>
      <w:r>
        <w:rPr>
          <w:color w:val="231F20"/>
        </w:rPr>
        <w:t>du</w:t>
      </w:r>
      <w:r>
        <w:rPr>
          <w:color w:val="231F20"/>
          <w:spacing w:val="5"/>
        </w:rPr>
        <w:t> </w:t>
      </w:r>
      <w:r>
        <w:rPr>
          <w:color w:val="231F20"/>
        </w:rPr>
        <w:t>froid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</w:rPr>
        <w:t> été,</w:t>
      </w:r>
      <w:r>
        <w:rPr>
          <w:color w:val="231F20"/>
          <w:spacing w:val="5"/>
        </w:rPr>
        <w:t> </w:t>
      </w:r>
      <w:r>
        <w:rPr>
          <w:color w:val="231F20"/>
        </w:rPr>
        <w:t>ainsi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pompe</w:t>
      </w:r>
      <w:r>
        <w:rPr>
          <w:color w:val="231F20"/>
          <w:spacing w:val="5"/>
        </w:rPr>
        <w:t> </w:t>
      </w:r>
      <w:r>
        <w:rPr>
          <w:color w:val="231F20"/>
        </w:rPr>
        <w:t>à</w:t>
      </w:r>
      <w:r>
        <w:rPr>
          <w:color w:val="231F20"/>
          <w:spacing w:val="5"/>
        </w:rPr>
        <w:t> </w:t>
      </w:r>
      <w:r>
        <w:rPr>
          <w:color w:val="231F20"/>
        </w:rPr>
        <w:t>chaleur/les</w:t>
      </w:r>
      <w:r>
        <w:rPr>
          <w:color w:val="231F20"/>
          <w:spacing w:val="5"/>
        </w:rPr>
        <w:t> </w:t>
      </w:r>
      <w:r>
        <w:rPr>
          <w:color w:val="231F20"/>
        </w:rPr>
        <w:t>clima-</w:t>
      </w:r>
      <w:r>
        <w:rPr>
          <w:color w:val="231F20"/>
        </w:rPr>
        <w:t> tiseurs</w:t>
      </w:r>
      <w:r>
        <w:rPr>
          <w:color w:val="231F20"/>
          <w:spacing w:val="24"/>
        </w:rPr>
        <w:t> </w:t>
      </w:r>
      <w:r>
        <w:rPr>
          <w:color w:val="231F20"/>
        </w:rPr>
        <w:t>haute</w:t>
      </w:r>
      <w:r>
        <w:rPr>
          <w:color w:val="231F20"/>
          <w:spacing w:val="25"/>
        </w:rPr>
        <w:t> </w:t>
      </w:r>
      <w:r>
        <w:rPr>
          <w:color w:val="231F20"/>
        </w:rPr>
        <w:t>pression</w:t>
      </w:r>
      <w:r>
        <w:rPr>
          <w:color w:val="231F20"/>
          <w:spacing w:val="24"/>
        </w:rPr>
        <w:t> </w:t>
      </w:r>
      <w:r>
        <w:rPr>
          <w:color w:val="231F20"/>
        </w:rPr>
        <w:t>à</w:t>
      </w:r>
      <w:r>
        <w:rPr>
          <w:color w:val="231F20"/>
          <w:spacing w:val="25"/>
        </w:rPr>
        <w:t> </w:t>
      </w:r>
      <w:r>
        <w:rPr>
          <w:color w:val="231F20"/>
        </w:rPr>
        <w:t>cycle</w:t>
      </w:r>
      <w:r>
        <w:rPr>
          <w:color w:val="231F20"/>
          <w:spacing w:val="25"/>
        </w:rPr>
        <w:t> </w:t>
      </w:r>
      <w:r>
        <w:rPr>
          <w:color w:val="231F20"/>
        </w:rPr>
        <w:t>transcritique</w:t>
      </w:r>
      <w:r>
        <w:rPr>
          <w:color w:val="231F20"/>
        </w:rPr>
        <w:t> assurent</w:t>
      </w:r>
      <w:r>
        <w:rPr>
          <w:color w:val="231F20"/>
          <w:spacing w:val="35"/>
        </w:rPr>
        <w:t> </w:t>
      </w:r>
      <w:r>
        <w:rPr>
          <w:color w:val="231F20"/>
        </w:rPr>
        <w:t>un</w:t>
      </w:r>
      <w:r>
        <w:rPr>
          <w:color w:val="231F20"/>
          <w:spacing w:val="36"/>
        </w:rPr>
        <w:t> </w:t>
      </w:r>
      <w:r>
        <w:rPr>
          <w:color w:val="231F20"/>
        </w:rPr>
        <w:t>coefficient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fonctionnement</w:t>
      </w:r>
      <w:r>
        <w:rPr>
          <w:color w:val="231F20"/>
        </w:rPr>
        <w:t> élevé.</w:t>
      </w:r>
      <w:r>
        <w:rPr>
          <w:i w:val="0"/>
        </w:rPr>
      </w:r>
    </w:p>
    <w:p>
      <w:pPr>
        <w:pStyle w:val="BodyText"/>
        <w:spacing w:line="232" w:lineRule="auto"/>
        <w:ind w:right="0"/>
        <w:jc w:val="both"/>
        <w:rPr>
          <w:i w:val="0"/>
        </w:rPr>
      </w:pPr>
      <w:r>
        <w:rPr>
          <w:color w:val="231F20"/>
        </w:rPr>
        <w:t>Pour</w:t>
      </w:r>
      <w:r>
        <w:rPr>
          <w:color w:val="231F20"/>
          <w:spacing w:val="1"/>
        </w:rPr>
        <w:t> </w:t>
      </w:r>
      <w:r>
        <w:rPr>
          <w:color w:val="231F20"/>
        </w:rPr>
        <w:t>couvrir</w:t>
      </w:r>
      <w:r>
        <w:rPr>
          <w:color w:val="231F20"/>
          <w:spacing w:val="1"/>
        </w:rPr>
        <w:t> </w:t>
      </w:r>
      <w:r>
        <w:rPr>
          <w:color w:val="231F20"/>
        </w:rPr>
        <w:t>sa</w:t>
      </w:r>
      <w:r>
        <w:rPr>
          <w:color w:val="231F20"/>
          <w:spacing w:val="1"/>
        </w:rPr>
        <w:t> </w:t>
      </w:r>
      <w:r>
        <w:rPr>
          <w:color w:val="231F20"/>
        </w:rPr>
        <w:t>consommation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</w:rPr>
        <w:t> 903’500</w:t>
      </w:r>
      <w:r>
        <w:rPr>
          <w:color w:val="231F20"/>
          <w:spacing w:val="30"/>
        </w:rPr>
        <w:t> </w:t>
      </w:r>
      <w:r>
        <w:rPr>
          <w:color w:val="231F20"/>
        </w:rPr>
        <w:t>kWh/a,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Grosspeter</w:t>
      </w:r>
      <w:r>
        <w:rPr>
          <w:color w:val="231F20"/>
          <w:spacing w:val="31"/>
        </w:rPr>
        <w:t> </w:t>
      </w:r>
      <w:r>
        <w:rPr>
          <w:color w:val="231F20"/>
        </w:rPr>
        <w:t>Tower</w:t>
      </w:r>
      <w:r>
        <w:rPr>
          <w:color w:val="231F20"/>
          <w:spacing w:val="31"/>
        </w:rPr>
        <w:t> </w:t>
      </w:r>
      <w:r>
        <w:rPr>
          <w:color w:val="231F20"/>
        </w:rPr>
        <w:t>doit</w:t>
      </w:r>
      <w:r>
        <w:rPr>
          <w:color w:val="231F20"/>
        </w:rPr>
        <w:t> utiliser</w:t>
      </w:r>
      <w:r>
        <w:rPr>
          <w:color w:val="231F20"/>
          <w:spacing w:val="-11"/>
        </w:rPr>
        <w:t> </w:t>
      </w:r>
      <w:r>
        <w:rPr>
          <w:color w:val="231F20"/>
        </w:rPr>
        <w:t>une</w:t>
      </w:r>
      <w:r>
        <w:rPr>
          <w:color w:val="231F20"/>
          <w:spacing w:val="-11"/>
        </w:rPr>
        <w:t> </w:t>
      </w:r>
      <w:r>
        <w:rPr>
          <w:color w:val="231F20"/>
        </w:rPr>
        <w:t>alimentation</w:t>
      </w:r>
      <w:r>
        <w:rPr>
          <w:color w:val="231F20"/>
          <w:spacing w:val="-11"/>
        </w:rPr>
        <w:t> </w:t>
      </w:r>
      <w:r>
        <w:rPr>
          <w:color w:val="231F20"/>
        </w:rPr>
        <w:t>externe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651’500</w:t>
      </w:r>
      <w:r>
        <w:rPr>
          <w:color w:val="231F20"/>
        </w:rPr>
        <w:t> kWh/a (ou 72%).</w:t>
      </w:r>
      <w:r>
        <w:rPr>
          <w:i w:val="0"/>
        </w:rPr>
      </w:r>
    </w:p>
    <w:p>
      <w:pPr>
        <w:spacing w:before="8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876"/>
        <w:gridCol w:w="1744"/>
      </w:tblGrid>
      <w:tr>
        <w:trPr>
          <w:trHeight w:val="127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3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20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</w:tabs>
              <w:spacing w:line="127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  <w:tab/>
              <w:t>0.18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16-24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color w:val="231F20"/>
                <w:spacing w:val="13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0.12-0.18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Boden: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10-20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</w:tabs>
              <w:spacing w:line="160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  <w:tab/>
              <w:t>0.25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44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Fenster: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2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color w:val="231F20"/>
                <w:spacing w:val="13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0.91-0.97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</w:tbl>
    <w:p>
      <w:pPr>
        <w:spacing w:line="172" w:lineRule="exact" w:before="53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768" w:val="left" w:leader="none"/>
          <w:tab w:pos="2950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20’300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24" w:val="left" w:leader="none"/>
          <w:tab w:pos="2564" w:val="left" w:leader="none"/>
          <w:tab w:pos="2895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3.4</w:t>
        <w:tab/>
        <w:t>8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70’000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42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 WP:</w:t>
        <w:tab/>
        <w:t>16.1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36   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326’000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42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Elektrizität*:</w:t>
        <w:tab/>
        <w:t>25.0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56 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507’500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37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44.5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903’500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207" w:right="192" w:hanging="1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*</w:t>
      </w:r>
      <w:r>
        <w:rPr>
          <w:rFonts w:ascii="Theinhardt Regular" w:hAnsi="Theinhardt Regular"/>
          <w:color w:val="231F20"/>
          <w:spacing w:val="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Da Werte für den Elektrizitätsbedarf der Mieter bei</w:t>
      </w:r>
      <w:r>
        <w:rPr>
          <w:rFonts w:ascii="Theinhardt Regular" w:hAnsi="Theinhardt Regular"/>
          <w:color w:val="231F20"/>
          <w:sz w:val="14"/>
        </w:rPr>
        <w:t> Redaktionsschluss nicht vorhanden waren, wird hier der MuKen-Wert aufgeführt.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9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39" w:val="left" w:leader="none"/>
          <w:tab w:pos="2052" w:val="left" w:leader="none"/>
          <w:tab w:pos="2584" w:val="left" w:leader="none"/>
          <w:tab w:pos="2892" w:val="left" w:leader="none"/>
        </w:tabs>
        <w:spacing w:line="207" w:lineRule="auto" w:before="6"/>
        <w:ind w:left="107" w:right="1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770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91.6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8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70’560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503"/>
        <w:gridCol w:w="550"/>
        <w:gridCol w:w="323"/>
        <w:gridCol w:w="665"/>
      </w:tblGrid>
      <w:tr>
        <w:trPr>
          <w:trHeight w:val="130" w:hRule="exact"/>
        </w:trPr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PV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Fassade: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3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4’800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3"/>
                <w:sz w:val="14"/>
              </w:rPr>
              <w:t>4</w:t>
            </w:r>
            <w:r>
              <w:rPr>
                <w:rFonts w:ascii="Theinhardt Regular"/>
                <w:color w:val="231F20"/>
                <w:sz w:val="14"/>
              </w:rPr>
              <w:t>40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37.8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181’440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PV gesamt: 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9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5’570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540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45.2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8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252’000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538" w:val="left" w:leader="none"/>
          <w:tab w:pos="2950" w:val="left" w:leader="none"/>
        </w:tabs>
        <w:spacing w:line="172" w:lineRule="exact" w:before="1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(Endenergie)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501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  <w:t>28  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252’000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 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903’500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0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72  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651’500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88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iwb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13.07.2017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Valentin</w:t>
      </w:r>
      <w:r>
        <w:rPr>
          <w:rFonts w:ascii="Theinhardt Regular" w:hAnsi="Theinhardt Regular"/>
          <w:color w:val="231F20"/>
          <w:sz w:val="14"/>
        </w:rPr>
        <w:t> Haller,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061 </w:t>
      </w:r>
      <w:r>
        <w:rPr>
          <w:rFonts w:ascii="Theinhardt Regular" w:hAnsi="Theinhardt Regular"/>
          <w:color w:val="231F20"/>
          <w:spacing w:val="-1"/>
          <w:sz w:val="14"/>
        </w:rPr>
        <w:t>275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51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Grosspeterstrasse</w:t>
      </w:r>
      <w:r>
        <w:rPr>
          <w:rFonts w:ascii="Theinhardt Regular"/>
          <w:color w:val="231F20"/>
          <w:sz w:val="14"/>
        </w:rPr>
        <w:t> 29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44,</w:t>
      </w:r>
      <w:r>
        <w:rPr>
          <w:rFonts w:ascii="Theinhardt Regular"/>
          <w:color w:val="231F20"/>
          <w:sz w:val="14"/>
        </w:rPr>
        <w:t> 4052 </w:t>
      </w:r>
      <w:r>
        <w:rPr>
          <w:rFonts w:ascii="Theinhardt Regular"/>
          <w:color w:val="231F20"/>
          <w:spacing w:val="2"/>
          <w:sz w:val="14"/>
        </w:rPr>
        <w:t>Basel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PSP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Real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Estate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3"/>
          <w:sz w:val="14"/>
        </w:rPr>
        <w:t>Seestrasse</w:t>
      </w:r>
      <w:r>
        <w:rPr>
          <w:rFonts w:ascii="Theinhardt Regular" w:hAnsi="Theinhardt Regular"/>
          <w:color w:val="231F20"/>
          <w:sz w:val="14"/>
        </w:rPr>
        <w:t> 353, </w:t>
      </w:r>
      <w:r>
        <w:rPr>
          <w:rFonts w:ascii="Theinhardt Regular" w:hAnsi="Theinhardt Regular"/>
          <w:color w:val="231F20"/>
          <w:spacing w:val="1"/>
          <w:sz w:val="14"/>
        </w:rPr>
        <w:t>8038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625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57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Burckhardt+Partner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061 338 34 34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Dornacherstrasse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210,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4002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Basel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Baumanagement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35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Dietziker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Partner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Baumanagement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Hebelstrasse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4056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Basel,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061 </w:t>
      </w:r>
      <w:r>
        <w:rPr>
          <w:rFonts w:ascii="Theinhardt Regular"/>
          <w:color w:val="231F20"/>
          <w:spacing w:val="-1"/>
          <w:sz w:val="14"/>
        </w:rPr>
        <w:t>226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S</w:t>
      </w:r>
      <w:r>
        <w:rPr>
          <w:rFonts w:ascii="Theinhardt Bold"/>
          <w:b/>
          <w:color w:val="231F20"/>
          <w:spacing w:val="2"/>
          <w:sz w:val="14"/>
        </w:rPr>
        <w:t>ola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planer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energiebüro</w:t>
      </w:r>
      <w:r>
        <w:rPr>
          <w:rFonts w:ascii="Theinhardt Regular" w:hAnsi="Theinhardt Regular"/>
          <w:color w:val="231F20"/>
          <w:position w:val="5"/>
          <w:sz w:val="8"/>
        </w:rPr>
        <w:t>® </w:t>
      </w:r>
      <w:r>
        <w:rPr>
          <w:rFonts w:ascii="Theinhardt Regular" w:hAnsi="Theinhardt Regular"/>
          <w:color w:val="231F20"/>
          <w:sz w:val="14"/>
        </w:rPr>
        <w:t>ag, </w:t>
      </w:r>
      <w:r>
        <w:rPr>
          <w:rFonts w:ascii="Theinhardt Regular" w:hAnsi="Theinhardt Regular"/>
          <w:color w:val="231F20"/>
          <w:spacing w:val="2"/>
          <w:sz w:val="14"/>
        </w:rPr>
        <w:t>Hafnerstrasse</w:t>
      </w:r>
      <w:r>
        <w:rPr>
          <w:rFonts w:ascii="Theinhardt Regular" w:hAnsi="Theinhardt Regular"/>
          <w:color w:val="231F20"/>
          <w:spacing w:val="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60, </w:t>
      </w:r>
      <w:r>
        <w:rPr>
          <w:rFonts w:ascii="Theinhardt Regular" w:hAnsi="Theinhardt Regular"/>
          <w:color w:val="231F20"/>
          <w:spacing w:val="2"/>
          <w:sz w:val="14"/>
        </w:rPr>
        <w:t>8005</w:t>
      </w:r>
      <w:r>
        <w:rPr>
          <w:rFonts w:ascii="Theinhardt Regular" w:hAnsi="Theinhardt Regular"/>
          <w:color w:val="231F20"/>
          <w:spacing w:val="1"/>
          <w:sz w:val="14"/>
        </w:rPr>
        <w:t> 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043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444</w:t>
      </w:r>
      <w:r>
        <w:rPr>
          <w:rFonts w:ascii="Theinhardt Regular"/>
          <w:color w:val="231F20"/>
          <w:sz w:val="14"/>
        </w:rPr>
        <w:t> 69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Solarunternehmer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Planeco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Tramstrasse</w:t>
      </w:r>
      <w:r>
        <w:rPr>
          <w:rFonts w:ascii="Theinhardt Regular" w:hAnsi="Theinhardt Regular"/>
          <w:color w:val="231F20"/>
          <w:sz w:val="14"/>
        </w:rPr>
        <w:t> 66, </w:t>
      </w:r>
      <w:r>
        <w:rPr>
          <w:rFonts w:ascii="Theinhardt Regular" w:hAnsi="Theinhardt Regular"/>
          <w:color w:val="231F20"/>
          <w:spacing w:val="-5"/>
          <w:sz w:val="14"/>
        </w:rPr>
        <w:t>4142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Münchenstein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061 </w:t>
      </w:r>
      <w:r>
        <w:rPr>
          <w:rFonts w:ascii="Theinhardt Regular"/>
          <w:color w:val="231F20"/>
          <w:spacing w:val="-8"/>
          <w:sz w:val="14"/>
        </w:rPr>
        <w:t>411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23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Fassadenbauer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5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Hevron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Case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postal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62,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2852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Courtételle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-3"/>
          <w:sz w:val="14"/>
        </w:rPr>
        <w:t>421</w:t>
      </w:r>
      <w:r>
        <w:rPr>
          <w:rFonts w:ascii="Theinhardt Regular" w:hAnsi="Theinhardt Regular"/>
          <w:color w:val="231F20"/>
          <w:sz w:val="14"/>
        </w:rPr>
        <w:t> 66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46"/>
        <w:ind w:left="107" w:right="48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Komponentenlieferanten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Stromumwandlung,</w:t>
      </w:r>
      <w:r>
        <w:rPr>
          <w:rFonts w:ascii="Theinhardt Bold" w:hAnsi="Theinhardt Bold"/>
          <w:b/>
          <w:color w:val="231F20"/>
          <w:spacing w:val="3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DC-Schränke,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Wechselrichter,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Transformator</w:t>
      </w:r>
      <w:r>
        <w:rPr>
          <w:rFonts w:ascii="Theinhardt Bold" w:hAnsi="Theinhardt Bold"/>
          <w:sz w:val="14"/>
        </w:rPr>
      </w:r>
    </w:p>
    <w:p>
      <w:pPr>
        <w:spacing w:line="17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KACO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new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+49 </w:t>
      </w:r>
      <w:r>
        <w:rPr>
          <w:rFonts w:ascii="Theinhardt Regular"/>
          <w:color w:val="231F20"/>
          <w:spacing w:val="-4"/>
          <w:sz w:val="14"/>
        </w:rPr>
        <w:t>7132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3818</w:t>
      </w:r>
      <w:r>
        <w:rPr>
          <w:rFonts w:ascii="Theinhardt Regular"/>
          <w:color w:val="231F20"/>
          <w:sz w:val="14"/>
        </w:rPr>
        <w:t> 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Stringoptimierer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AMPT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Europe,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Deutschland,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+49 </w:t>
      </w:r>
      <w:r>
        <w:rPr>
          <w:rFonts w:ascii="Theinhardt Regular"/>
          <w:color w:val="231F20"/>
          <w:spacing w:val="-2"/>
          <w:sz w:val="14"/>
        </w:rPr>
        <w:t>7456</w:t>
      </w:r>
      <w:r>
        <w:rPr>
          <w:rFonts w:ascii="Theinhardt Regular"/>
          <w:color w:val="231F20"/>
          <w:sz w:val="14"/>
        </w:rPr>
        <w:t> 20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42</w:t>
      </w:r>
      <w:r>
        <w:rPr>
          <w:rFonts w:asci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74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4589" cy="2029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589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5"/>
        <w:ind w:left="0" w:right="3357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42.52pt;margin-top:-159.866379pt;width:345.85pt;height:640.65pt;mso-position-horizontal-relative:page;mso-position-vertical-relative:paragraph;z-index:1192" coordorigin="850,-3197" coordsize="6917,12813">
            <v:shape style="position:absolute;left:1261;top:8141;width:299;height:227" type="#_x0000_t75" stroked="false">
              <v:imagedata r:id="rId6" o:title=""/>
            </v:shape>
            <v:shape style="position:absolute;left:850;top:-3197;width:6917;height:12813" type="#_x0000_t75" stroked="false">
              <v:imagedata r:id="rId7" o:title=""/>
            </v:shape>
            <w10:wrap type="none"/>
          </v:group>
        </w:pict>
      </w:r>
      <w:r>
        <w:rPr>
          <w:rFonts w:ascii="Theinhardt Bold"/>
          <w:b/>
          <w:color w:val="231F20"/>
          <w:w w:val="95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7253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25132" cy="2833687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132" cy="283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15"/>
        <w:ind w:left="0" w:right="3367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w w:val="95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7253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26012" cy="1478280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1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10"/>
        <w:ind w:left="0" w:right="3367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w w:val="95"/>
          <w:sz w:val="14"/>
        </w:rPr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7253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23939" cy="1365503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39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tabs>
          <w:tab w:pos="7253" w:val="left" w:leader="none"/>
        </w:tabs>
        <w:spacing w:before="1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5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6"/>
          <w:szCs w:val="26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Der Grosspeter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3"/>
          <w:sz w:val="14"/>
        </w:rPr>
        <w:t>Tower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nutzt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die</w:t>
      </w:r>
      <w:r>
        <w:rPr>
          <w:rFonts w:ascii="Theinhardt Bold"/>
          <w:b/>
          <w:color w:val="231F20"/>
          <w:sz w:val="14"/>
        </w:rPr>
        <w:t> gesamte</w:t>
      </w:r>
      <w:r>
        <w:rPr>
          <w:rFonts w:ascii="Theinhardt Bold"/>
          <w:b/>
          <w:color w:val="231F20"/>
          <w:spacing w:val="29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Fassade</w:t>
      </w:r>
      <w:r>
        <w:rPr>
          <w:rFonts w:ascii="Theinhardt Bold"/>
          <w:b/>
          <w:color w:val="231F20"/>
          <w:sz w:val="14"/>
        </w:rPr>
        <w:t> zur Gewinnung von Solarenergie.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</w:t>
      </w:r>
      <w:r>
        <w:rPr>
          <w:rFonts w:ascii="Theinhardt Bold" w:hAnsi="Theinhardt Bold"/>
          <w:b/>
          <w:color w:val="231F20"/>
          <w:spacing w:val="-1"/>
          <w:sz w:val="14"/>
        </w:rPr>
        <w:t>Fassadenanlage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sorgfältig</w:t>
      </w:r>
      <w:r>
        <w:rPr>
          <w:rFonts w:ascii="Theinhardt Bold" w:hAnsi="Theinhardt Bold"/>
          <w:b/>
          <w:color w:val="231F20"/>
          <w:sz w:val="14"/>
        </w:rPr>
        <w:t> in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Gebäu-</w:t>
      </w:r>
      <w:r>
        <w:rPr>
          <w:rFonts w:ascii="Theinhardt Bold" w:hAnsi="Theinhardt Bold"/>
          <w:b/>
          <w:color w:val="231F20"/>
          <w:spacing w:val="5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dehülle</w:t>
      </w:r>
      <w:r>
        <w:rPr>
          <w:rFonts w:ascii="Theinhardt Bold" w:hAnsi="Theinhardt Bold"/>
          <w:b/>
          <w:color w:val="231F20"/>
          <w:sz w:val="14"/>
        </w:rPr>
        <w:t> integriert.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12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Sicht von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Autobahn auf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21-stöckigen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Grosspeter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Tower</w:t>
      </w:r>
      <w:r>
        <w:rPr>
          <w:rFonts w:ascii="Theinhardt Bold" w:hAnsi="Theinhardt Bold"/>
          <w:b/>
          <w:color w:val="231F20"/>
          <w:sz w:val="14"/>
        </w:rPr>
        <w:t> (Visualisierung)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6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Die </w:t>
      </w:r>
      <w:r>
        <w:rPr>
          <w:rFonts w:ascii="Theinhardt Bold"/>
          <w:b/>
          <w:color w:val="231F20"/>
          <w:spacing w:val="-1"/>
          <w:sz w:val="14"/>
        </w:rPr>
        <w:t>Fassadenanlage</w:t>
      </w:r>
      <w:r>
        <w:rPr>
          <w:rFonts w:ascii="Theinhardt Bold"/>
          <w:b/>
          <w:color w:val="231F20"/>
          <w:sz w:val="14"/>
        </w:rPr>
        <w:t> hat eine </w:t>
      </w:r>
      <w:r>
        <w:rPr>
          <w:rFonts w:ascii="Theinhardt Bold"/>
          <w:b/>
          <w:color w:val="231F20"/>
          <w:spacing w:val="-1"/>
          <w:sz w:val="14"/>
        </w:rPr>
        <w:t>Leistung</w:t>
      </w:r>
      <w:r>
        <w:rPr>
          <w:rFonts w:ascii="Theinhardt Bold"/>
          <w:b/>
          <w:color w:val="231F20"/>
          <w:sz w:val="14"/>
        </w:rPr>
        <w:t> von 440</w:t>
      </w:r>
      <w:r>
        <w:rPr>
          <w:rFonts w:ascii="Theinhardt Bold"/>
          <w:b/>
          <w:color w:val="231F20"/>
          <w:spacing w:val="42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kWp.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41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Dachanlage </w:t>
      </w:r>
      <w:r>
        <w:rPr>
          <w:rFonts w:ascii="Theinhardt Bold"/>
          <w:b/>
          <w:color w:val="231F20"/>
          <w:spacing w:val="-1"/>
          <w:sz w:val="14"/>
        </w:rPr>
        <w:t>weist</w:t>
      </w:r>
      <w:r>
        <w:rPr>
          <w:rFonts w:ascii="Theinhardt Bold"/>
          <w:b/>
          <w:color w:val="231F20"/>
          <w:sz w:val="14"/>
        </w:rPr>
        <w:t> eine </w:t>
      </w:r>
      <w:r>
        <w:rPr>
          <w:rFonts w:ascii="Theinhardt Bold"/>
          <w:b/>
          <w:color w:val="231F20"/>
          <w:spacing w:val="-1"/>
          <w:sz w:val="14"/>
        </w:rPr>
        <w:t>Leistung</w:t>
      </w:r>
      <w:r>
        <w:rPr>
          <w:rFonts w:ascii="Theinhardt Bold"/>
          <w:b/>
          <w:color w:val="231F20"/>
          <w:sz w:val="14"/>
        </w:rPr>
        <w:t> von 100</w:t>
      </w:r>
      <w:r>
        <w:rPr>
          <w:rFonts w:ascii="Theinhardt Bold"/>
          <w:b/>
          <w:color w:val="231F20"/>
          <w:spacing w:val="24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kWp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2"/>
          <w:sz w:val="14"/>
        </w:rPr>
        <w:t>auf.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018" w:space="554"/>
            <w:col w:w="3355" w:space="216"/>
            <w:col w:w="3567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75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0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2017-10-23T16:01:57Z</dcterms:created>
  <dcterms:modified xsi:type="dcterms:W3CDTF">2017-10-23T16:01:57Z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