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tabs>
          <w:tab w:pos="2546" w:val="left" w:leader="none"/>
        </w:tabs>
        <w:spacing w:line="230" w:lineRule="exact"/>
        <w:ind w:right="0"/>
        <w:jc w:val="left"/>
        <w:rPr>
          <w:rFonts w:ascii="Theinhardt Heavy" w:hAnsi="Theinhardt Heavy" w:cs="Theinhardt Heavy" w:eastAsia="Theinhardt Heavy"/>
          <w:b w:val="0"/>
          <w:bCs w:val="0"/>
        </w:rPr>
      </w:pPr>
      <w:r>
        <w:rPr/>
        <w:pict>
          <v:group style="position:absolute;margin-left:28.559pt;margin-top:13.647326pt;width:.1pt;height:.1pt;mso-position-horizontal-relative:page;mso-position-vertical-relative:paragraph;z-index:-4816" coordorigin="571,273" coordsize="2,2">
            <v:shape style="position:absolute;left:571;top:273;width:2;height:2" coordorigin="571,273" coordsize="0,0" path="m571,273l571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13.647326pt;width:.1pt;height:.1pt;mso-position-horizontal-relative:page;mso-position-vertical-relative:paragraph;z-index:1120" coordorigin="3015,273" coordsize="2,2">
            <v:shape style="position:absolute;left:3015;top:273;width:2;height:2" coordorigin="3015,273" coordsize="0,0" path="m3015,273l3015,273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Heavy"/>
          <w:b/>
          <w:color w:val="231F20"/>
        </w:rPr>
      </w:r>
      <w:r>
        <w:rPr>
          <w:rFonts w:ascii="Theinhardt Heavy"/>
          <w:b/>
          <w:color w:val="231F20"/>
          <w:u w:val="dotted" w:color="231F20"/>
        </w:rPr>
        <w:t>Kategorie B</w:t>
      </w:r>
      <w:r>
        <w:rPr>
          <w:rFonts w:ascii="Theinhardt Heavy"/>
          <w:b/>
          <w:color w:val="231F20"/>
          <w:u w:val="dotted" w:color="231F20"/>
        </w:rPr>
        <w:t> </w:t>
        <w:tab/>
      </w:r>
      <w:r>
        <w:rPr>
          <w:rFonts w:ascii="Theinhardt Heavy"/>
          <w:b/>
          <w:color w:val="231F20"/>
        </w:rPr>
      </w:r>
      <w:r>
        <w:rPr>
          <w:rFonts w:ascii="Theinhardt Heavy"/>
          <w:b/>
          <w:color w:val="231F20"/>
        </w:rPr>
        <w:t> </w:t>
      </w:r>
      <w:r>
        <w:rPr>
          <w:rFonts w:ascii="Theinhardt Heavy"/>
          <w:b/>
          <w:color w:val="231F20"/>
          <w:u w:val="dotted" w:color="231F20"/>
        </w:rPr>
        <w:t>PlusEnergieBauten</w:t>
      </w:r>
      <w:r>
        <w:rPr>
          <w:rFonts w:ascii="Theinhardt Heavy"/>
          <w:b/>
          <w:color w:val="231F20"/>
          <w:u w:val="dotted" w:color="231F20"/>
        </w:rPr>
        <w:t> </w:t>
        <w:tab/>
      </w:r>
      <w:r>
        <w:rPr>
          <w:rFonts w:ascii="Theinhardt Heavy"/>
          <w:b/>
          <w:color w:val="231F20"/>
        </w:rPr>
      </w:r>
      <w:r>
        <w:rPr>
          <w:rFonts w:ascii="Theinhardt Heavy"/>
          <w:b w:val="0"/>
        </w:rPr>
      </w:r>
    </w:p>
    <w:p>
      <w:pPr>
        <w:tabs>
          <w:tab w:pos="2550" w:val="left" w:leader="none"/>
        </w:tabs>
        <w:spacing w:line="20" w:lineRule="atLeast"/>
        <w:ind w:left="106" w:right="0" w:firstLine="0"/>
        <w:rPr>
          <w:rFonts w:ascii="Theinhardt Heavy" w:hAnsi="Theinhardt Heavy" w:cs="Theinhardt Heavy" w:eastAsia="Theinhardt Heavy"/>
          <w:sz w:val="2"/>
          <w:szCs w:val="2"/>
        </w:rPr>
      </w:pPr>
      <w:r>
        <w:rPr>
          <w:rFonts w:ascii="Theinhardt Heavy"/>
          <w:sz w:val="2"/>
        </w:rPr>
        <w:pict>
          <v:group style="width:.45pt;height:.45pt;mso-position-horizontal-relative:char;mso-position-vertical-relative:line" coordorigin="0,0" coordsize="9,9"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Heavy"/>
          <w:sz w:val="2"/>
        </w:rPr>
      </w:r>
      <w:r>
        <w:rPr>
          <w:rFonts w:ascii="Theinhardt Heavy"/>
          <w:sz w:val="2"/>
        </w:rPr>
        <w:tab/>
      </w:r>
      <w:r>
        <w:rPr>
          <w:rFonts w:ascii="Theinhardt Heavy"/>
          <w:sz w:val="2"/>
        </w:rPr>
        <w:pict>
          <v:group style="width:.45pt;height:.45pt;mso-position-horizontal-relative:char;mso-position-vertical-relative:line" coordorigin="0,0" coordsize="9,9"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Heavy"/>
          <w:sz w:val="2"/>
        </w:rPr>
      </w:r>
    </w:p>
    <w:p>
      <w:pPr>
        <w:pStyle w:val="BodyText"/>
        <w:spacing w:line="240" w:lineRule="auto"/>
        <w:ind w:right="0"/>
        <w:jc w:val="left"/>
      </w:pPr>
      <w:r>
        <w:rPr/>
        <w:pict>
          <v:shape style="position:absolute;margin-left:28.347pt;margin-top:27.536898pt;width:82.204400pt;height:60.2039pt;mso-position-horizontal-relative:page;mso-position-vertical-relative:paragraph;z-index:1216" type="#_x0000_t75" stroked="false">
            <v:imagedata r:id="rId5" o:title=""/>
          </v:shape>
        </w:pict>
      </w:r>
      <w:r>
        <w:rPr>
          <w:color w:val="231F20"/>
        </w:rPr>
        <w:t>2.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PlusEnergieBau</w:t>
      </w:r>
      <w:r>
        <w:rPr>
          <w:color w:val="231F20"/>
          <w:spacing w:val="-1"/>
          <w:position w:val="6"/>
          <w:sz w:val="10"/>
        </w:rPr>
        <w:t>®</w:t>
      </w:r>
      <w:r>
        <w:rPr>
          <w:color w:val="231F20"/>
          <w:spacing w:val="-1"/>
        </w:rPr>
        <w:t>-Solarpreis</w:t>
      </w:r>
      <w:r>
        <w:rPr/>
      </w:r>
    </w:p>
    <w:p>
      <w:pPr>
        <w:pStyle w:val="Heading1"/>
        <w:spacing w:line="232" w:lineRule="auto" w:before="43"/>
        <w:ind w:right="107"/>
        <w:jc w:val="both"/>
        <w:rPr>
          <w:b w:val="0"/>
          <w:bCs w:val="0"/>
        </w:rPr>
      </w:pPr>
      <w:r>
        <w:rPr>
          <w:b w:val="0"/>
          <w:bCs w:val="0"/>
        </w:rPr>
        <w:br w:type="column"/>
      </w:r>
      <w:r>
        <w:rPr>
          <w:color w:val="231F20"/>
        </w:rPr>
        <w:t>Die</w:t>
      </w:r>
      <w:r>
        <w:rPr>
          <w:color w:val="231F20"/>
          <w:spacing w:val="2"/>
        </w:rPr>
        <w:t> </w:t>
      </w:r>
      <w:r>
        <w:rPr>
          <w:color w:val="231F20"/>
        </w:rPr>
        <w:t>Galliker</w:t>
      </w:r>
      <w:r>
        <w:rPr>
          <w:color w:val="231F20"/>
          <w:spacing w:val="2"/>
        </w:rPr>
        <w:t> </w:t>
      </w:r>
      <w:r>
        <w:rPr>
          <w:color w:val="231F20"/>
        </w:rPr>
        <w:t>Transport</w:t>
      </w:r>
      <w:r>
        <w:rPr>
          <w:color w:val="231F20"/>
          <w:spacing w:val="2"/>
        </w:rPr>
        <w:t> </w:t>
      </w:r>
      <w:r>
        <w:rPr>
          <w:color w:val="231F20"/>
        </w:rPr>
        <w:t>AG</w:t>
      </w:r>
      <w:r>
        <w:rPr>
          <w:color w:val="231F20"/>
          <w:spacing w:val="2"/>
        </w:rPr>
        <w:t> </w:t>
      </w:r>
      <w:r>
        <w:rPr>
          <w:color w:val="231F20"/>
        </w:rPr>
        <w:t>erstellte</w:t>
      </w:r>
      <w:r>
        <w:rPr>
          <w:color w:val="231F20"/>
          <w:spacing w:val="2"/>
        </w:rPr>
        <w:t> </w:t>
      </w:r>
      <w:r>
        <w:rPr>
          <w:color w:val="231F20"/>
        </w:rPr>
        <w:t>2016</w:t>
      </w:r>
      <w:r>
        <w:rPr>
          <w:color w:val="231F20"/>
          <w:spacing w:val="2"/>
        </w:rPr>
        <w:t> </w:t>
      </w:r>
      <w:r>
        <w:rPr>
          <w:color w:val="231F20"/>
        </w:rPr>
        <w:t>die</w:t>
      </w:r>
      <w:r>
        <w:rPr>
          <w:color w:val="231F20"/>
          <w:spacing w:val="2"/>
        </w:rPr>
        <w:t> </w:t>
      </w:r>
      <w:r>
        <w:rPr>
          <w:color w:val="231F20"/>
        </w:rPr>
        <w:t>606</w:t>
      </w:r>
      <w:r>
        <w:rPr>
          <w:color w:val="231F20"/>
          <w:spacing w:val="2"/>
        </w:rPr>
        <w:t> </w:t>
      </w:r>
      <w:r>
        <w:rPr>
          <w:color w:val="231F20"/>
        </w:rPr>
        <w:t>kW</w:t>
      </w:r>
      <w:r>
        <w:rPr>
          <w:color w:val="231F20"/>
          <w:spacing w:val="2"/>
        </w:rPr>
        <w:t> </w:t>
      </w:r>
      <w:r>
        <w:rPr>
          <w:color w:val="231F20"/>
        </w:rPr>
        <w:t>starke</w:t>
      </w:r>
      <w:r>
        <w:rPr>
          <w:color w:val="231F20"/>
          <w:spacing w:val="2"/>
        </w:rPr>
        <w:t> </w:t>
      </w:r>
      <w:r>
        <w:rPr>
          <w:color w:val="231F20"/>
        </w:rPr>
        <w:t>PV-Anlage</w:t>
      </w:r>
      <w:r>
        <w:rPr>
          <w:color w:val="231F20"/>
          <w:spacing w:val="2"/>
        </w:rPr>
        <w:t> </w:t>
      </w:r>
      <w:r>
        <w:rPr>
          <w:color w:val="231F20"/>
        </w:rPr>
        <w:t>in</w:t>
      </w:r>
      <w:r>
        <w:rPr>
          <w:color w:val="231F20"/>
          <w:spacing w:val="2"/>
        </w:rPr>
        <w:t> </w:t>
      </w:r>
      <w:r>
        <w:rPr>
          <w:color w:val="231F20"/>
        </w:rPr>
        <w:t>Altishofen/LU.</w:t>
      </w:r>
      <w:r>
        <w:rPr>
          <w:color w:val="231F20"/>
          <w:spacing w:val="2"/>
        </w:rPr>
        <w:t> </w:t>
      </w:r>
      <w:r>
        <w:rPr>
          <w:color w:val="231F20"/>
        </w:rPr>
        <w:t>Sie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be-</w:t>
      </w:r>
      <w:r>
        <w:rPr>
          <w:color w:val="231F20"/>
          <w:spacing w:val="22"/>
        </w:rPr>
        <w:t> </w:t>
      </w:r>
      <w:r>
        <w:rPr>
          <w:color w:val="231F20"/>
        </w:rPr>
        <w:t>sticht</w:t>
      </w:r>
      <w:r>
        <w:rPr>
          <w:color w:val="231F20"/>
          <w:spacing w:val="5"/>
        </w:rPr>
        <w:t> </w:t>
      </w:r>
      <w:r>
        <w:rPr>
          <w:color w:val="231F20"/>
        </w:rPr>
        <w:t>durch</w:t>
      </w:r>
      <w:r>
        <w:rPr>
          <w:color w:val="231F20"/>
          <w:spacing w:val="5"/>
        </w:rPr>
        <w:t> </w:t>
      </w:r>
      <w:r>
        <w:rPr>
          <w:color w:val="231F20"/>
        </w:rPr>
        <w:t>ihre</w:t>
      </w:r>
      <w:r>
        <w:rPr>
          <w:color w:val="231F20"/>
          <w:spacing w:val="5"/>
        </w:rPr>
        <w:t> </w:t>
      </w:r>
      <w:r>
        <w:rPr>
          <w:color w:val="231F20"/>
        </w:rPr>
        <w:t>Multifunktionalität:</w:t>
      </w:r>
      <w:r>
        <w:rPr>
          <w:color w:val="231F20"/>
          <w:spacing w:val="5"/>
        </w:rPr>
        <w:t> </w:t>
      </w:r>
      <w:r>
        <w:rPr>
          <w:color w:val="231F20"/>
        </w:rPr>
        <w:t>Neben</w:t>
      </w:r>
      <w:r>
        <w:rPr>
          <w:color w:val="231F20"/>
          <w:spacing w:val="5"/>
        </w:rPr>
        <w:t> </w:t>
      </w:r>
      <w:r>
        <w:rPr>
          <w:color w:val="231F20"/>
        </w:rPr>
        <w:t>der</w:t>
      </w:r>
      <w:r>
        <w:rPr>
          <w:color w:val="231F20"/>
          <w:spacing w:val="5"/>
        </w:rPr>
        <w:t> </w:t>
      </w:r>
      <w:r>
        <w:rPr>
          <w:color w:val="231F20"/>
        </w:rPr>
        <w:t>Stromproduktion</w:t>
      </w:r>
      <w:r>
        <w:rPr>
          <w:color w:val="231F20"/>
          <w:spacing w:val="5"/>
        </w:rPr>
        <w:t> </w:t>
      </w:r>
      <w:r>
        <w:rPr>
          <w:color w:val="231F20"/>
        </w:rPr>
        <w:t>auf</w:t>
      </w:r>
      <w:r>
        <w:rPr>
          <w:color w:val="231F20"/>
          <w:spacing w:val="5"/>
        </w:rPr>
        <w:t> </w:t>
      </w:r>
      <w:r>
        <w:rPr>
          <w:color w:val="231F20"/>
        </w:rPr>
        <w:t>dem</w:t>
      </w:r>
      <w:r>
        <w:rPr>
          <w:color w:val="231F20"/>
          <w:spacing w:val="5"/>
        </w:rPr>
        <w:t> </w:t>
      </w:r>
      <w:r>
        <w:rPr>
          <w:color w:val="231F20"/>
        </w:rPr>
        <w:t>Dach</w:t>
      </w:r>
      <w:r>
        <w:rPr>
          <w:color w:val="231F20"/>
          <w:spacing w:val="5"/>
        </w:rPr>
        <w:t> </w:t>
      </w:r>
      <w:r>
        <w:rPr>
          <w:color w:val="231F20"/>
        </w:rPr>
        <w:t>schützt</w:t>
      </w:r>
      <w:r>
        <w:rPr>
          <w:color w:val="231F20"/>
          <w:spacing w:val="5"/>
        </w:rPr>
        <w:t> </w:t>
      </w:r>
      <w:r>
        <w:rPr>
          <w:color w:val="231F20"/>
        </w:rPr>
        <w:t>sie</w:t>
      </w:r>
      <w:r>
        <w:rPr>
          <w:color w:val="231F20"/>
          <w:spacing w:val="5"/>
        </w:rPr>
        <w:t> </w:t>
      </w:r>
      <w:r>
        <w:rPr>
          <w:color w:val="231F20"/>
        </w:rPr>
        <w:t>die</w:t>
      </w:r>
      <w:r>
        <w:rPr>
          <w:color w:val="231F20"/>
        </w:rPr>
        <w:t> Geschäftslokalitäten</w:t>
      </w:r>
      <w:r>
        <w:rPr>
          <w:color w:val="231F20"/>
          <w:spacing w:val="10"/>
        </w:rPr>
        <w:t> </w:t>
      </w:r>
      <w:r>
        <w:rPr>
          <w:color w:val="231F20"/>
        </w:rPr>
        <w:t>vor</w:t>
      </w:r>
      <w:r>
        <w:rPr>
          <w:color w:val="231F20"/>
          <w:spacing w:val="10"/>
        </w:rPr>
        <w:t> </w:t>
      </w:r>
      <w:r>
        <w:rPr>
          <w:color w:val="231F20"/>
        </w:rPr>
        <w:t>Regen,</w:t>
      </w:r>
      <w:r>
        <w:rPr>
          <w:color w:val="231F20"/>
          <w:spacing w:val="10"/>
        </w:rPr>
        <w:t> </w:t>
      </w:r>
      <w:r>
        <w:rPr>
          <w:color w:val="231F20"/>
        </w:rPr>
        <w:t>Schnee,</w:t>
      </w:r>
      <w:r>
        <w:rPr>
          <w:color w:val="231F20"/>
          <w:spacing w:val="10"/>
        </w:rPr>
        <w:t> </w:t>
      </w:r>
      <w:r>
        <w:rPr>
          <w:color w:val="231F20"/>
        </w:rPr>
        <w:t>Sonne,</w:t>
      </w:r>
      <w:r>
        <w:rPr>
          <w:color w:val="231F20"/>
          <w:spacing w:val="10"/>
        </w:rPr>
        <w:t> </w:t>
      </w:r>
      <w:r>
        <w:rPr>
          <w:color w:val="231F20"/>
        </w:rPr>
        <w:t>Hagel</w:t>
      </w:r>
      <w:r>
        <w:rPr>
          <w:color w:val="231F20"/>
          <w:spacing w:val="10"/>
        </w:rPr>
        <w:t> </w:t>
      </w:r>
      <w:r>
        <w:rPr>
          <w:color w:val="231F20"/>
        </w:rPr>
        <w:t>und</w:t>
      </w:r>
      <w:r>
        <w:rPr>
          <w:color w:val="231F20"/>
          <w:spacing w:val="10"/>
        </w:rPr>
        <w:t> </w:t>
      </w:r>
      <w:r>
        <w:rPr>
          <w:color w:val="231F20"/>
        </w:rPr>
        <w:t>Sturm.</w:t>
      </w:r>
      <w:r>
        <w:rPr>
          <w:color w:val="231F20"/>
          <w:spacing w:val="10"/>
        </w:rPr>
        <w:t> </w:t>
      </w:r>
      <w:r>
        <w:rPr>
          <w:color w:val="231F20"/>
        </w:rPr>
        <w:t>Die</w:t>
      </w:r>
      <w:r>
        <w:rPr>
          <w:color w:val="231F20"/>
          <w:spacing w:val="10"/>
        </w:rPr>
        <w:t> </w:t>
      </w:r>
      <w:r>
        <w:rPr>
          <w:color w:val="231F20"/>
        </w:rPr>
        <w:t>Spezialkonstruktion</w:t>
      </w:r>
      <w:r>
        <w:rPr>
          <w:color w:val="231F20"/>
          <w:spacing w:val="10"/>
        </w:rPr>
        <w:t> </w:t>
      </w:r>
      <w:r>
        <w:rPr>
          <w:color w:val="231F20"/>
        </w:rPr>
        <w:t>ist</w:t>
      </w:r>
      <w:r>
        <w:rPr>
          <w:color w:val="231F20"/>
        </w:rPr>
        <w:t> vollständig</w:t>
      </w:r>
      <w:r>
        <w:rPr>
          <w:color w:val="231F20"/>
          <w:spacing w:val="-12"/>
        </w:rPr>
        <w:t> </w:t>
      </w:r>
      <w:r>
        <w:rPr>
          <w:color w:val="231F20"/>
        </w:rPr>
        <w:t>wasserdicht</w:t>
      </w:r>
      <w:r>
        <w:rPr>
          <w:color w:val="231F20"/>
          <w:spacing w:val="-12"/>
        </w:rPr>
        <w:t> </w:t>
      </w:r>
      <w:r>
        <w:rPr>
          <w:color w:val="231F20"/>
        </w:rPr>
        <w:t>und</w:t>
      </w:r>
      <w:r>
        <w:rPr>
          <w:color w:val="231F20"/>
          <w:spacing w:val="-12"/>
        </w:rPr>
        <w:t> </w:t>
      </w:r>
      <w:r>
        <w:rPr>
          <w:color w:val="231F20"/>
        </w:rPr>
        <w:t>optimal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2"/>
        </w:rPr>
        <w:t> </w:t>
      </w:r>
      <w:r>
        <w:rPr>
          <w:color w:val="231F20"/>
        </w:rPr>
        <w:t>die</w:t>
      </w:r>
      <w:r>
        <w:rPr>
          <w:color w:val="231F20"/>
          <w:spacing w:val="-12"/>
        </w:rPr>
        <w:t> </w:t>
      </w:r>
      <w:r>
        <w:rPr>
          <w:color w:val="231F20"/>
        </w:rPr>
        <w:t>Gebäudehülle</w:t>
      </w:r>
      <w:r>
        <w:rPr>
          <w:color w:val="231F20"/>
          <w:spacing w:val="-12"/>
        </w:rPr>
        <w:t> </w:t>
      </w:r>
      <w:r>
        <w:rPr>
          <w:color w:val="231F20"/>
        </w:rPr>
        <w:t>integriert.</w:t>
      </w:r>
      <w:r>
        <w:rPr>
          <w:color w:val="231F20"/>
          <w:spacing w:val="-11"/>
        </w:rPr>
        <w:t> </w:t>
      </w:r>
      <w:r>
        <w:rPr>
          <w:color w:val="231F20"/>
        </w:rPr>
        <w:t>Der</w:t>
      </w:r>
      <w:r>
        <w:rPr>
          <w:color w:val="231F20"/>
          <w:spacing w:val="-12"/>
        </w:rPr>
        <w:t> </w:t>
      </w:r>
      <w:r>
        <w:rPr>
          <w:color w:val="231F20"/>
        </w:rPr>
        <w:t>fliessende</w:t>
      </w:r>
      <w:r>
        <w:rPr>
          <w:color w:val="231F20"/>
          <w:spacing w:val="-12"/>
        </w:rPr>
        <w:t> </w:t>
      </w:r>
      <w:r>
        <w:rPr>
          <w:color w:val="231F20"/>
        </w:rPr>
        <w:t>Übergang</w:t>
      </w:r>
      <w:r>
        <w:rPr>
          <w:color w:val="231F20"/>
          <w:spacing w:val="-12"/>
        </w:rPr>
        <w:t> </w:t>
      </w:r>
      <w:r>
        <w:rPr>
          <w:color w:val="231F20"/>
        </w:rPr>
        <w:t>der</w:t>
      </w:r>
      <w:r>
        <w:rPr>
          <w:color w:val="231F20"/>
        </w:rPr>
        <w:t> Dach-</w:t>
      </w:r>
      <w:r>
        <w:rPr>
          <w:color w:val="231F20"/>
          <w:spacing w:val="-5"/>
        </w:rPr>
        <w:t> </w:t>
      </w:r>
      <w:r>
        <w:rPr>
          <w:color w:val="231F20"/>
        </w:rPr>
        <w:t>und</w:t>
      </w:r>
      <w:r>
        <w:rPr>
          <w:color w:val="231F20"/>
          <w:spacing w:val="-5"/>
        </w:rPr>
        <w:t> </w:t>
      </w:r>
      <w:r>
        <w:rPr>
          <w:color w:val="231F20"/>
        </w:rPr>
        <w:t>Fassadenmodule</w:t>
      </w:r>
      <w:r>
        <w:rPr>
          <w:color w:val="231F20"/>
          <w:spacing w:val="-5"/>
        </w:rPr>
        <w:t> </w:t>
      </w:r>
      <w:r>
        <w:rPr>
          <w:color w:val="231F20"/>
        </w:rPr>
        <w:t>zeigt,</w:t>
      </w:r>
      <w:r>
        <w:rPr>
          <w:color w:val="231F20"/>
          <w:spacing w:val="-12"/>
        </w:rPr>
        <w:t> </w:t>
      </w:r>
      <w:r>
        <w:rPr>
          <w:color w:val="231F20"/>
        </w:rPr>
        <w:t>wie</w:t>
      </w:r>
      <w:r>
        <w:rPr>
          <w:color w:val="231F20"/>
          <w:spacing w:val="-5"/>
        </w:rPr>
        <w:t> </w:t>
      </w:r>
      <w:r>
        <w:rPr>
          <w:color w:val="231F20"/>
        </w:rPr>
        <w:t>elegant</w:t>
      </w:r>
      <w:r>
        <w:rPr>
          <w:color w:val="231F20"/>
          <w:spacing w:val="-5"/>
        </w:rPr>
        <w:t> </w:t>
      </w:r>
      <w:r>
        <w:rPr>
          <w:color w:val="231F20"/>
        </w:rPr>
        <w:t>und</w:t>
      </w:r>
      <w:r>
        <w:rPr>
          <w:color w:val="231F20"/>
          <w:spacing w:val="-5"/>
        </w:rPr>
        <w:t> </w:t>
      </w:r>
      <w:r>
        <w:rPr>
          <w:color w:val="231F20"/>
        </w:rPr>
        <w:t>ästhetisch</w:t>
      </w:r>
      <w:r>
        <w:rPr>
          <w:color w:val="231F20"/>
          <w:spacing w:val="-5"/>
        </w:rPr>
        <w:t> </w:t>
      </w:r>
      <w:r>
        <w:rPr>
          <w:color w:val="231F20"/>
        </w:rPr>
        <w:t>ansprechend</w:t>
      </w:r>
      <w:r>
        <w:rPr>
          <w:color w:val="231F20"/>
          <w:spacing w:val="-5"/>
        </w:rPr>
        <w:t> </w:t>
      </w:r>
      <w:r>
        <w:rPr>
          <w:color w:val="231F20"/>
        </w:rPr>
        <w:t>die</w:t>
      </w:r>
      <w:r>
        <w:rPr>
          <w:color w:val="231F20"/>
          <w:spacing w:val="-5"/>
        </w:rPr>
        <w:t> </w:t>
      </w:r>
      <w:r>
        <w:rPr>
          <w:color w:val="231F20"/>
        </w:rPr>
        <w:t>PlusEnergieBau-</w:t>
      </w:r>
      <w:r>
        <w:rPr>
          <w:color w:val="231F20"/>
        </w:rPr>
        <w:t> Solararchitektur</w:t>
      </w:r>
      <w:r>
        <w:rPr>
          <w:color w:val="231F20"/>
          <w:spacing w:val="11"/>
        </w:rPr>
        <w:t> </w:t>
      </w:r>
      <w:r>
        <w:rPr>
          <w:color w:val="231F20"/>
        </w:rPr>
        <w:t>sein</w:t>
      </w:r>
      <w:r>
        <w:rPr>
          <w:color w:val="231F20"/>
          <w:spacing w:val="12"/>
        </w:rPr>
        <w:t> </w:t>
      </w:r>
      <w:r>
        <w:rPr>
          <w:color w:val="231F20"/>
        </w:rPr>
        <w:t>kann.</w:t>
      </w:r>
      <w:r>
        <w:rPr>
          <w:color w:val="231F20"/>
          <w:spacing w:val="12"/>
        </w:rPr>
        <w:t> </w:t>
      </w:r>
      <w:r>
        <w:rPr>
          <w:color w:val="231F20"/>
        </w:rPr>
        <w:t>Für</w:t>
      </w:r>
      <w:r>
        <w:rPr>
          <w:color w:val="231F20"/>
          <w:spacing w:val="11"/>
        </w:rPr>
        <w:t> </w:t>
      </w:r>
      <w:r>
        <w:rPr>
          <w:color w:val="231F20"/>
        </w:rPr>
        <w:t>Frischluft</w:t>
      </w:r>
      <w:r>
        <w:rPr>
          <w:color w:val="231F20"/>
          <w:spacing w:val="12"/>
        </w:rPr>
        <w:t> </w:t>
      </w:r>
      <w:r>
        <w:rPr>
          <w:color w:val="231F20"/>
        </w:rPr>
        <w:t>in</w:t>
      </w:r>
      <w:r>
        <w:rPr>
          <w:color w:val="231F20"/>
          <w:spacing w:val="12"/>
        </w:rPr>
        <w:t> </w:t>
      </w:r>
      <w:r>
        <w:rPr>
          <w:color w:val="231F20"/>
        </w:rPr>
        <w:t>den</w:t>
      </w:r>
      <w:r>
        <w:rPr>
          <w:color w:val="231F20"/>
          <w:spacing w:val="12"/>
        </w:rPr>
        <w:t> </w:t>
      </w:r>
      <w:r>
        <w:rPr>
          <w:color w:val="231F20"/>
        </w:rPr>
        <w:t>Büros</w:t>
      </w:r>
      <w:r>
        <w:rPr>
          <w:color w:val="231F20"/>
          <w:spacing w:val="11"/>
        </w:rPr>
        <w:t> </w:t>
      </w:r>
      <w:r>
        <w:rPr>
          <w:color w:val="231F20"/>
        </w:rPr>
        <w:t>und</w:t>
      </w:r>
      <w:r>
        <w:rPr>
          <w:color w:val="231F20"/>
          <w:spacing w:val="12"/>
        </w:rPr>
        <w:t> </w:t>
      </w:r>
      <w:r>
        <w:rPr>
          <w:color w:val="231F20"/>
        </w:rPr>
        <w:t>der</w:t>
      </w:r>
      <w:r>
        <w:rPr>
          <w:color w:val="231F20"/>
          <w:spacing w:val="12"/>
        </w:rPr>
        <w:t> </w:t>
      </w:r>
      <w:r>
        <w:rPr>
          <w:color w:val="231F20"/>
        </w:rPr>
        <w:t>Ausstellungsfläche</w:t>
      </w:r>
      <w:r>
        <w:rPr>
          <w:color w:val="231F20"/>
          <w:spacing w:val="12"/>
        </w:rPr>
        <w:t> </w:t>
      </w:r>
      <w:r>
        <w:rPr>
          <w:color w:val="231F20"/>
        </w:rPr>
        <w:t>sorgen</w:t>
      </w:r>
      <w:r>
        <w:rPr>
          <w:color w:val="231F20"/>
          <w:spacing w:val="11"/>
        </w:rPr>
        <w:t> </w:t>
      </w:r>
      <w:r>
        <w:rPr>
          <w:color w:val="231F20"/>
        </w:rPr>
        <w:t>die</w:t>
      </w:r>
      <w:r>
        <w:rPr>
          <w:color w:val="231F20"/>
        </w:rPr>
        <w:t> solarbetriebenen</w:t>
      </w:r>
      <w:r>
        <w:rPr>
          <w:color w:val="231F20"/>
          <w:spacing w:val="13"/>
        </w:rPr>
        <w:t> </w:t>
      </w:r>
      <w:r>
        <w:rPr>
          <w:color w:val="231F20"/>
        </w:rPr>
        <w:t>Lüftungsanlagen</w:t>
      </w:r>
      <w:r>
        <w:rPr>
          <w:color w:val="231F20"/>
          <w:spacing w:val="13"/>
        </w:rPr>
        <w:t> </w:t>
      </w:r>
      <w:r>
        <w:rPr>
          <w:color w:val="231F20"/>
        </w:rPr>
        <w:t>mit</w:t>
      </w:r>
      <w:r>
        <w:rPr>
          <w:color w:val="231F20"/>
          <w:spacing w:val="13"/>
        </w:rPr>
        <w:t> </w:t>
      </w:r>
      <w:r>
        <w:rPr>
          <w:color w:val="231F20"/>
        </w:rPr>
        <w:t>bis</w:t>
      </w:r>
      <w:r>
        <w:rPr>
          <w:color w:val="231F20"/>
          <w:spacing w:val="13"/>
        </w:rPr>
        <w:t> </w:t>
      </w:r>
      <w:r>
        <w:rPr>
          <w:color w:val="231F20"/>
        </w:rPr>
        <w:t>zu</w:t>
      </w:r>
      <w:r>
        <w:rPr>
          <w:color w:val="231F20"/>
          <w:spacing w:val="14"/>
        </w:rPr>
        <w:t> </w:t>
      </w:r>
      <w:r>
        <w:rPr>
          <w:color w:val="231F20"/>
        </w:rPr>
        <w:t>2’000</w:t>
      </w:r>
      <w:r>
        <w:rPr>
          <w:color w:val="231F20"/>
          <w:spacing w:val="13"/>
        </w:rPr>
        <w:t> </w:t>
      </w:r>
      <w:r>
        <w:rPr>
          <w:color w:val="231F20"/>
        </w:rPr>
        <w:t>m</w:t>
      </w:r>
      <w:r>
        <w:rPr>
          <w:color w:val="231F20"/>
          <w:position w:val="6"/>
          <w:sz w:val="10"/>
          <w:szCs w:val="10"/>
        </w:rPr>
        <w:t>3</w:t>
      </w:r>
      <w:r>
        <w:rPr>
          <w:color w:val="231F20"/>
          <w:spacing w:val="9"/>
          <w:position w:val="6"/>
          <w:sz w:val="10"/>
          <w:szCs w:val="10"/>
        </w:rPr>
        <w:t> </w:t>
      </w:r>
      <w:r>
        <w:rPr>
          <w:color w:val="231F20"/>
        </w:rPr>
        <w:t>pro</w:t>
      </w:r>
      <w:r>
        <w:rPr>
          <w:color w:val="231F20"/>
          <w:spacing w:val="13"/>
        </w:rPr>
        <w:t> </w:t>
      </w:r>
      <w:r>
        <w:rPr>
          <w:color w:val="231F20"/>
        </w:rPr>
        <w:t>Stunde.</w:t>
      </w:r>
      <w:r>
        <w:rPr>
          <w:color w:val="231F20"/>
          <w:spacing w:val="13"/>
        </w:rPr>
        <w:t> </w:t>
      </w:r>
      <w:r>
        <w:rPr>
          <w:color w:val="231F20"/>
        </w:rPr>
        <w:t>Mit</w:t>
      </w:r>
      <w:r>
        <w:rPr>
          <w:color w:val="231F20"/>
          <w:spacing w:val="13"/>
        </w:rPr>
        <w:t> </w:t>
      </w:r>
      <w:r>
        <w:rPr>
          <w:color w:val="231F20"/>
        </w:rPr>
        <w:t>den</w:t>
      </w:r>
      <w:r>
        <w:rPr>
          <w:color w:val="231F20"/>
          <w:spacing w:val="14"/>
        </w:rPr>
        <w:t> </w:t>
      </w:r>
      <w:r>
        <w:rPr>
          <w:color w:val="231F20"/>
        </w:rPr>
        <w:t>jährlich</w:t>
      </w:r>
      <w:r>
        <w:rPr>
          <w:color w:val="231F20"/>
          <w:spacing w:val="13"/>
        </w:rPr>
        <w:t> </w:t>
      </w:r>
      <w:r>
        <w:rPr>
          <w:color w:val="231F20"/>
        </w:rPr>
        <w:t>erzeugten</w:t>
      </w:r>
      <w:r>
        <w:rPr>
          <w:color w:val="231F20"/>
        </w:rPr>
        <w:t> 520’800</w:t>
      </w:r>
      <w:r>
        <w:rPr>
          <w:color w:val="231F20"/>
          <w:spacing w:val="32"/>
        </w:rPr>
        <w:t> </w:t>
      </w:r>
      <w:r>
        <w:rPr>
          <w:color w:val="231F20"/>
        </w:rPr>
        <w:t>kWh/a</w:t>
      </w:r>
      <w:r>
        <w:rPr>
          <w:color w:val="231F20"/>
          <w:spacing w:val="32"/>
        </w:rPr>
        <w:t> </w:t>
      </w:r>
      <w:r>
        <w:rPr>
          <w:color w:val="231F20"/>
        </w:rPr>
        <w:t>deckt</w:t>
      </w:r>
      <w:r>
        <w:rPr>
          <w:color w:val="231F20"/>
          <w:spacing w:val="32"/>
        </w:rPr>
        <w:t> </w:t>
      </w:r>
      <w:r>
        <w:rPr>
          <w:color w:val="231F20"/>
        </w:rPr>
        <w:t>das</w:t>
      </w:r>
      <w:r>
        <w:rPr>
          <w:color w:val="231F20"/>
          <w:spacing w:val="32"/>
        </w:rPr>
        <w:t> </w:t>
      </w:r>
      <w:r>
        <w:rPr>
          <w:color w:val="231F20"/>
        </w:rPr>
        <w:t>Gebäude</w:t>
      </w:r>
      <w:r>
        <w:rPr>
          <w:color w:val="231F20"/>
          <w:spacing w:val="32"/>
        </w:rPr>
        <w:t> </w:t>
      </w:r>
      <w:r>
        <w:rPr>
          <w:color w:val="231F20"/>
        </w:rPr>
        <w:t>166%</w:t>
      </w:r>
      <w:r>
        <w:rPr>
          <w:color w:val="231F20"/>
          <w:spacing w:val="32"/>
        </w:rPr>
        <w:t> </w:t>
      </w:r>
      <w:r>
        <w:rPr>
          <w:color w:val="231F20"/>
        </w:rPr>
        <w:t>des</w:t>
      </w:r>
      <w:r>
        <w:rPr>
          <w:color w:val="231F20"/>
          <w:spacing w:val="32"/>
        </w:rPr>
        <w:t> </w:t>
      </w:r>
      <w:r>
        <w:rPr>
          <w:color w:val="231F20"/>
        </w:rPr>
        <w:t>Gesamtenergiebedarfs.</w:t>
      </w:r>
      <w:r>
        <w:rPr>
          <w:color w:val="231F20"/>
          <w:spacing w:val="32"/>
        </w:rPr>
        <w:t> </w:t>
      </w:r>
      <w:r>
        <w:rPr>
          <w:color w:val="231F20"/>
        </w:rPr>
        <w:t>Der</w:t>
      </w:r>
      <w:r>
        <w:rPr>
          <w:color w:val="231F20"/>
          <w:spacing w:val="32"/>
        </w:rPr>
        <w:t> </w:t>
      </w:r>
      <w:r>
        <w:rPr>
          <w:color w:val="231F20"/>
        </w:rPr>
        <w:t>Solarstromüber-</w:t>
      </w:r>
      <w:r>
        <w:rPr>
          <w:color w:val="231F20"/>
        </w:rPr>
        <w:t> schuss</w:t>
      </w:r>
      <w:r>
        <w:rPr>
          <w:color w:val="231F20"/>
          <w:spacing w:val="-3"/>
        </w:rPr>
        <w:t> </w:t>
      </w:r>
      <w:r>
        <w:rPr>
          <w:color w:val="231F20"/>
        </w:rPr>
        <w:t>von</w:t>
      </w:r>
      <w:r>
        <w:rPr>
          <w:color w:val="231F20"/>
          <w:spacing w:val="-3"/>
        </w:rPr>
        <w:t> </w:t>
      </w:r>
      <w:r>
        <w:rPr>
          <w:color w:val="231F20"/>
        </w:rPr>
        <w:t>206’700</w:t>
      </w:r>
      <w:r>
        <w:rPr>
          <w:color w:val="231F20"/>
          <w:spacing w:val="-3"/>
        </w:rPr>
        <w:t> </w:t>
      </w:r>
      <w:r>
        <w:rPr>
          <w:color w:val="231F20"/>
        </w:rPr>
        <w:t>kWh/a</w:t>
      </w:r>
      <w:r>
        <w:rPr>
          <w:color w:val="231F20"/>
          <w:spacing w:val="-3"/>
        </w:rPr>
        <w:t> </w:t>
      </w:r>
      <w:r>
        <w:rPr>
          <w:color w:val="231F20"/>
        </w:rPr>
        <w:t>ermöglicht</w:t>
      </w:r>
      <w:r>
        <w:rPr>
          <w:color w:val="231F20"/>
          <w:spacing w:val="-2"/>
        </w:rPr>
        <w:t> </w:t>
      </w:r>
      <w:r>
        <w:rPr>
          <w:color w:val="231F20"/>
        </w:rPr>
        <w:t>148</w:t>
      </w:r>
      <w:r>
        <w:rPr>
          <w:color w:val="231F20"/>
          <w:spacing w:val="-3"/>
        </w:rPr>
        <w:t> </w:t>
      </w:r>
      <w:r>
        <w:rPr>
          <w:color w:val="231F20"/>
        </w:rPr>
        <w:t>Elektroautos,</w:t>
      </w:r>
      <w:r>
        <w:rPr>
          <w:color w:val="231F20"/>
          <w:spacing w:val="-10"/>
        </w:rPr>
        <w:t> </w:t>
      </w:r>
      <w:r>
        <w:rPr>
          <w:color w:val="231F20"/>
        </w:rPr>
        <w:t>jährlich</w:t>
      </w:r>
      <w:r>
        <w:rPr>
          <w:color w:val="231F20"/>
          <w:spacing w:val="-3"/>
        </w:rPr>
        <w:t> </w:t>
      </w:r>
      <w:r>
        <w:rPr>
          <w:color w:val="231F20"/>
        </w:rPr>
        <w:t>12’000</w:t>
      </w:r>
      <w:r>
        <w:rPr>
          <w:color w:val="231F20"/>
          <w:spacing w:val="-3"/>
        </w:rPr>
        <w:t> </w:t>
      </w:r>
      <w:r>
        <w:rPr>
          <w:color w:val="231F20"/>
        </w:rPr>
        <w:t>km</w:t>
      </w:r>
      <w:r>
        <w:rPr>
          <w:color w:val="231F20"/>
          <w:spacing w:val="-3"/>
        </w:rPr>
        <w:t> </w:t>
      </w:r>
      <w:r>
        <w:rPr>
          <w:color w:val="231F20"/>
        </w:rPr>
        <w:t>CO</w:t>
      </w:r>
      <w:r>
        <w:rPr>
          <w:color w:val="231F20"/>
          <w:position w:val="-5"/>
          <w:sz w:val="10"/>
          <w:szCs w:val="10"/>
        </w:rPr>
        <w:t>2</w:t>
      </w:r>
      <w:r>
        <w:rPr>
          <w:color w:val="231F20"/>
        </w:rPr>
        <w:t>-frei</w:t>
      </w:r>
      <w:r>
        <w:rPr>
          <w:color w:val="231F20"/>
          <w:spacing w:val="-2"/>
        </w:rPr>
        <w:t> </w:t>
      </w:r>
      <w:r>
        <w:rPr>
          <w:color w:val="231F20"/>
        </w:rPr>
        <w:t>zu</w:t>
      </w:r>
      <w:r>
        <w:rPr>
          <w:color w:val="231F20"/>
          <w:spacing w:val="-3"/>
        </w:rPr>
        <w:t> </w:t>
      </w:r>
      <w:r>
        <w:rPr>
          <w:color w:val="231F20"/>
        </w:rPr>
        <w:t>fahren.</w:t>
      </w:r>
      <w:r>
        <w:rPr>
          <w:b w:val="0"/>
          <w:bCs w:val="0"/>
        </w:rPr>
      </w:r>
    </w:p>
    <w:p>
      <w:pPr>
        <w:spacing w:after="0" w:line="232" w:lineRule="auto"/>
        <w:jc w:val="both"/>
        <w:sectPr>
          <w:type w:val="continuous"/>
          <w:pgSz w:w="11910" w:h="16840"/>
          <w:pgMar w:top="840" w:bottom="280" w:left="460" w:right="740"/>
          <w:cols w:num="2" w:equalWidth="0">
            <w:col w:w="2547" w:space="132"/>
            <w:col w:w="803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8"/>
        <w:rPr>
          <w:rFonts w:ascii="Theinhardt Bold" w:hAnsi="Theinhardt Bold" w:cs="Theinhardt Bold" w:eastAsia="Theinhardt Bold"/>
          <w:b/>
          <w:bCs/>
          <w:sz w:val="22"/>
          <w:szCs w:val="22"/>
        </w:rPr>
      </w:pPr>
    </w:p>
    <w:p>
      <w:pPr>
        <w:spacing w:before="5"/>
        <w:ind w:left="106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/>
          <w:b/>
          <w:color w:val="0067B1"/>
          <w:sz w:val="40"/>
        </w:rPr>
        <w:t>166%-PEB Galliker Transport, 6246 Altishofen/LU</w:t>
      </w:r>
      <w:r>
        <w:rPr>
          <w:rFonts w:ascii="Theinhardt Black"/>
          <w:sz w:val="40"/>
        </w:rPr>
      </w:r>
    </w:p>
    <w:p>
      <w:pPr>
        <w:spacing w:line="240" w:lineRule="auto" w:before="7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1910" w:h="16840"/>
          <w:pgMar w:top="840" w:bottom="280" w:left="460" w:right="740"/>
        </w:sectPr>
      </w:pPr>
    </w:p>
    <w:p>
      <w:pPr>
        <w:pStyle w:val="BodyText"/>
        <w:spacing w:line="230" w:lineRule="exact" w:before="55"/>
        <w:ind w:right="0"/>
        <w:jc w:val="both"/>
      </w:pPr>
      <w:r>
        <w:rPr>
          <w:color w:val="231F20"/>
        </w:rPr>
        <w:t>Der</w:t>
      </w:r>
      <w:r>
        <w:rPr>
          <w:color w:val="231F20"/>
          <w:spacing w:val="4"/>
        </w:rPr>
        <w:t> </w:t>
      </w:r>
      <w:r>
        <w:rPr>
          <w:color w:val="231F20"/>
        </w:rPr>
        <w:t>Mehrzweck-Neubau</w:t>
      </w:r>
      <w:r>
        <w:rPr>
          <w:color w:val="231F20"/>
          <w:spacing w:val="4"/>
        </w:rPr>
        <w:t> </w:t>
      </w:r>
      <w:r>
        <w:rPr>
          <w:color w:val="231F20"/>
        </w:rPr>
        <w:t>der</w:t>
      </w:r>
      <w:r>
        <w:rPr>
          <w:color w:val="231F20"/>
          <w:spacing w:val="4"/>
        </w:rPr>
        <w:t> </w:t>
      </w:r>
      <w:r>
        <w:rPr>
          <w:color w:val="231F20"/>
        </w:rPr>
        <w:t>Galliker</w:t>
      </w:r>
      <w:r>
        <w:rPr>
          <w:color w:val="231F20"/>
          <w:spacing w:val="4"/>
        </w:rPr>
        <w:t> </w:t>
      </w:r>
      <w:r>
        <w:rPr>
          <w:color w:val="231F20"/>
        </w:rPr>
        <w:t>Trans-</w:t>
      </w:r>
      <w:r>
        <w:rPr>
          <w:color w:val="231F20"/>
        </w:rPr>
        <w:t> port</w:t>
      </w:r>
      <w:r>
        <w:rPr>
          <w:color w:val="231F20"/>
          <w:spacing w:val="20"/>
        </w:rPr>
        <w:t> </w:t>
      </w:r>
      <w:r>
        <w:rPr>
          <w:color w:val="231F20"/>
        </w:rPr>
        <w:t>AG</w:t>
      </w:r>
      <w:r>
        <w:rPr>
          <w:color w:val="231F20"/>
          <w:spacing w:val="20"/>
        </w:rPr>
        <w:t> </w:t>
      </w:r>
      <w:r>
        <w:rPr>
          <w:color w:val="231F20"/>
        </w:rPr>
        <w:t>in</w:t>
      </w:r>
      <w:r>
        <w:rPr>
          <w:color w:val="231F20"/>
          <w:spacing w:val="20"/>
        </w:rPr>
        <w:t> </w:t>
      </w:r>
      <w:r>
        <w:rPr>
          <w:color w:val="231F20"/>
        </w:rPr>
        <w:t>Altishofen/LU</w:t>
      </w:r>
      <w:r>
        <w:rPr>
          <w:color w:val="231F20"/>
          <w:spacing w:val="20"/>
        </w:rPr>
        <w:t> </w:t>
      </w:r>
      <w:r>
        <w:rPr>
          <w:color w:val="231F20"/>
        </w:rPr>
        <w:t>erfüllt</w:t>
      </w:r>
      <w:r>
        <w:rPr>
          <w:color w:val="231F20"/>
          <w:spacing w:val="20"/>
        </w:rPr>
        <w:t> </w:t>
      </w:r>
      <w:r>
        <w:rPr>
          <w:color w:val="231F20"/>
        </w:rPr>
        <w:t>mit</w:t>
      </w:r>
      <w:r>
        <w:rPr>
          <w:color w:val="231F20"/>
          <w:spacing w:val="20"/>
        </w:rPr>
        <w:t> </w:t>
      </w:r>
      <w:r>
        <w:rPr>
          <w:color w:val="231F20"/>
        </w:rPr>
        <w:t>seinen</w:t>
      </w:r>
      <w:r>
        <w:rPr>
          <w:color w:val="231F20"/>
        </w:rPr>
        <w:t> 24’000</w:t>
      </w:r>
      <w:r>
        <w:rPr>
          <w:color w:val="231F20"/>
          <w:spacing w:val="-2"/>
        </w:rPr>
        <w:t> </w:t>
      </w:r>
      <w:r>
        <w:rPr>
          <w:color w:val="231F20"/>
        </w:rPr>
        <w:t>m</w:t>
      </w:r>
      <w:r>
        <w:rPr>
          <w:color w:val="231F20"/>
          <w:position w:val="6"/>
          <w:sz w:val="10"/>
          <w:szCs w:val="10"/>
        </w:rPr>
        <w:t>2</w:t>
      </w:r>
      <w:r>
        <w:rPr>
          <w:color w:val="231F20"/>
          <w:spacing w:val="20"/>
          <w:position w:val="6"/>
          <w:sz w:val="10"/>
          <w:szCs w:val="10"/>
        </w:rPr>
        <w:t> </w:t>
      </w:r>
      <w:r>
        <w:rPr>
          <w:color w:val="231F20"/>
        </w:rPr>
        <w:t>Nutzfläche</w:t>
      </w:r>
      <w:r>
        <w:rPr>
          <w:color w:val="231F20"/>
          <w:spacing w:val="-2"/>
        </w:rPr>
        <w:t> </w:t>
      </w:r>
      <w:r>
        <w:rPr>
          <w:color w:val="231F20"/>
        </w:rPr>
        <w:t>mehrere</w:t>
      </w:r>
      <w:r>
        <w:rPr>
          <w:color w:val="231F20"/>
          <w:spacing w:val="-1"/>
        </w:rPr>
        <w:t> </w:t>
      </w:r>
      <w:r>
        <w:rPr>
          <w:color w:val="231F20"/>
        </w:rPr>
        <w:t>Funktionen.</w:t>
      </w:r>
      <w:r>
        <w:rPr>
          <w:color w:val="231F20"/>
        </w:rPr>
        <w:t> Das</w:t>
      </w:r>
      <w:r>
        <w:rPr>
          <w:color w:val="231F20"/>
          <w:spacing w:val="-14"/>
        </w:rPr>
        <w:t> </w:t>
      </w:r>
      <w:r>
        <w:rPr>
          <w:color w:val="231F20"/>
        </w:rPr>
        <w:t>Parterre</w:t>
      </w:r>
      <w:r>
        <w:rPr>
          <w:color w:val="231F20"/>
          <w:spacing w:val="-14"/>
        </w:rPr>
        <w:t> </w:t>
      </w:r>
      <w:r>
        <w:rPr>
          <w:color w:val="231F20"/>
        </w:rPr>
        <w:t>wird</w:t>
      </w:r>
      <w:r>
        <w:rPr>
          <w:color w:val="231F20"/>
          <w:spacing w:val="-14"/>
        </w:rPr>
        <w:t> </w:t>
      </w:r>
      <w:r>
        <w:rPr>
          <w:color w:val="231F20"/>
        </w:rPr>
        <w:t>teilweise</w:t>
      </w:r>
      <w:r>
        <w:rPr>
          <w:color w:val="231F20"/>
          <w:spacing w:val="-14"/>
        </w:rPr>
        <w:t> </w:t>
      </w:r>
      <w:r>
        <w:rPr>
          <w:color w:val="231F20"/>
        </w:rPr>
        <w:t>als</w:t>
      </w:r>
      <w:r>
        <w:rPr>
          <w:color w:val="231F20"/>
          <w:spacing w:val="-14"/>
        </w:rPr>
        <w:t> </w:t>
      </w:r>
      <w:r>
        <w:rPr>
          <w:color w:val="231F20"/>
        </w:rPr>
        <w:t>Ausstellungs-</w:t>
      </w:r>
      <w:r>
        <w:rPr>
          <w:color w:val="231F20"/>
        </w:rPr>
        <w:t> (580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6"/>
          <w:sz w:val="10"/>
          <w:szCs w:val="10"/>
        </w:rPr>
        <w:t>2</w:t>
      </w:r>
      <w:r>
        <w:rPr>
          <w:color w:val="231F20"/>
          <w:spacing w:val="-1"/>
        </w:rPr>
        <w:t>)</w:t>
      </w:r>
      <w:r>
        <w:rPr>
          <w:color w:val="231F20"/>
          <w:spacing w:val="24"/>
        </w:rPr>
        <w:t> </w:t>
      </w:r>
      <w:r>
        <w:rPr>
          <w:color w:val="231F20"/>
        </w:rPr>
        <w:t>und</w:t>
      </w:r>
      <w:r>
        <w:rPr>
          <w:color w:val="231F20"/>
          <w:spacing w:val="24"/>
        </w:rPr>
        <w:t> </w:t>
      </w:r>
      <w:r>
        <w:rPr>
          <w:color w:val="231F20"/>
        </w:rPr>
        <w:t>als</w:t>
      </w:r>
      <w:r>
        <w:rPr>
          <w:color w:val="231F20"/>
          <w:spacing w:val="23"/>
        </w:rPr>
        <w:t> </w:t>
      </w:r>
      <w:r>
        <w:rPr>
          <w:color w:val="231F20"/>
        </w:rPr>
        <w:t>Bürofläche</w:t>
      </w:r>
      <w:r>
        <w:rPr>
          <w:color w:val="231F20"/>
          <w:spacing w:val="24"/>
        </w:rPr>
        <w:t> </w:t>
      </w:r>
      <w:r>
        <w:rPr>
          <w:color w:val="231F20"/>
        </w:rPr>
        <w:t>(310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6"/>
          <w:sz w:val="10"/>
          <w:szCs w:val="10"/>
        </w:rPr>
        <w:t>2</w:t>
      </w:r>
      <w:r>
        <w:rPr>
          <w:color w:val="231F20"/>
          <w:spacing w:val="-1"/>
        </w:rPr>
        <w:t>)</w:t>
      </w:r>
      <w:r>
        <w:rPr>
          <w:color w:val="231F20"/>
          <w:spacing w:val="24"/>
        </w:rPr>
        <w:t> </w:t>
      </w:r>
      <w:r>
        <w:rPr>
          <w:color w:val="231F20"/>
        </w:rPr>
        <w:t>be-</w:t>
      </w:r>
      <w:r>
        <w:rPr>
          <w:color w:val="231F20"/>
          <w:spacing w:val="24"/>
        </w:rPr>
        <w:t> </w:t>
      </w:r>
      <w:r>
        <w:rPr>
          <w:color w:val="231F20"/>
        </w:rPr>
        <w:t>nutzt.</w:t>
      </w:r>
      <w:r>
        <w:rPr>
          <w:color w:val="231F20"/>
          <w:spacing w:val="33"/>
        </w:rPr>
        <w:t> </w:t>
      </w:r>
      <w:r>
        <w:rPr>
          <w:color w:val="231F20"/>
        </w:rPr>
        <w:t>Eine</w:t>
      </w:r>
      <w:r>
        <w:rPr>
          <w:color w:val="231F20"/>
          <w:spacing w:val="34"/>
        </w:rPr>
        <w:t> </w:t>
      </w:r>
      <w:r>
        <w:rPr>
          <w:color w:val="231F20"/>
        </w:rPr>
        <w:t>606</w:t>
      </w:r>
      <w:r>
        <w:rPr>
          <w:color w:val="231F20"/>
          <w:spacing w:val="34"/>
        </w:rPr>
        <w:t> </w:t>
      </w:r>
      <w:r>
        <w:rPr>
          <w:color w:val="231F20"/>
        </w:rPr>
        <w:t>kW</w:t>
      </w:r>
      <w:r>
        <w:rPr>
          <w:color w:val="231F20"/>
          <w:spacing w:val="34"/>
        </w:rPr>
        <w:t> </w:t>
      </w:r>
      <w:r>
        <w:rPr>
          <w:color w:val="231F20"/>
        </w:rPr>
        <w:t>starke</w:t>
      </w:r>
      <w:r>
        <w:rPr>
          <w:color w:val="231F20"/>
          <w:spacing w:val="34"/>
        </w:rPr>
        <w:t> </w:t>
      </w:r>
      <w:r>
        <w:rPr>
          <w:color w:val="231F20"/>
        </w:rPr>
        <w:t>und</w:t>
      </w:r>
      <w:r>
        <w:rPr>
          <w:color w:val="231F20"/>
          <w:spacing w:val="34"/>
        </w:rPr>
        <w:t> </w:t>
      </w:r>
      <w:r>
        <w:rPr>
          <w:color w:val="231F20"/>
        </w:rPr>
        <w:t>4’000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6"/>
          <w:sz w:val="10"/>
          <w:szCs w:val="10"/>
        </w:rPr>
        <w:t>2</w:t>
      </w:r>
      <w:r>
        <w:rPr>
          <w:color w:val="231F20"/>
          <w:spacing w:val="21"/>
          <w:w w:val="104"/>
          <w:position w:val="6"/>
          <w:sz w:val="10"/>
          <w:szCs w:val="10"/>
        </w:rPr>
        <w:t> </w:t>
      </w:r>
      <w:r>
        <w:rPr>
          <w:color w:val="231F20"/>
        </w:rPr>
        <w:t>grosse</w:t>
      </w:r>
      <w:r>
        <w:rPr>
          <w:color w:val="231F20"/>
          <w:spacing w:val="46"/>
        </w:rPr>
        <w:t> </w:t>
      </w:r>
      <w:r>
        <w:rPr>
          <w:color w:val="231F20"/>
        </w:rPr>
        <w:t>PV-Anlage</w:t>
      </w:r>
      <w:r>
        <w:rPr>
          <w:color w:val="231F20"/>
          <w:spacing w:val="47"/>
        </w:rPr>
        <w:t> </w:t>
      </w:r>
      <w:r>
        <w:rPr>
          <w:color w:val="231F20"/>
        </w:rPr>
        <w:t>ist</w:t>
      </w:r>
      <w:r>
        <w:rPr>
          <w:color w:val="231F20"/>
          <w:spacing w:val="46"/>
        </w:rPr>
        <w:t> </w:t>
      </w:r>
      <w:r>
        <w:rPr>
          <w:color w:val="231F20"/>
        </w:rPr>
        <w:t>vorbildlich</w:t>
      </w:r>
      <w:r>
        <w:rPr>
          <w:color w:val="231F20"/>
          <w:spacing w:val="47"/>
        </w:rPr>
        <w:t> </w:t>
      </w:r>
      <w:r>
        <w:rPr>
          <w:color w:val="231F20"/>
        </w:rPr>
        <w:t>auf</w:t>
      </w:r>
      <w:r>
        <w:rPr>
          <w:color w:val="231F20"/>
          <w:spacing w:val="47"/>
        </w:rPr>
        <w:t> </w:t>
      </w:r>
      <w:r>
        <w:rPr>
          <w:color w:val="231F20"/>
        </w:rPr>
        <w:t>dem</w:t>
      </w:r>
      <w:r>
        <w:rPr>
          <w:color w:val="231F20"/>
        </w:rPr>
        <w:t> Dach</w:t>
      </w:r>
      <w:r>
        <w:rPr>
          <w:color w:val="231F20"/>
          <w:spacing w:val="31"/>
        </w:rPr>
        <w:t> </w:t>
      </w:r>
      <w:r>
        <w:rPr>
          <w:color w:val="231F20"/>
        </w:rPr>
        <w:t>in-stalliert.</w:t>
      </w:r>
      <w:r>
        <w:rPr>
          <w:color w:val="231F20"/>
          <w:spacing w:val="32"/>
        </w:rPr>
        <w:t> </w:t>
      </w:r>
      <w:r>
        <w:rPr>
          <w:color w:val="231F20"/>
        </w:rPr>
        <w:t>Mit</w:t>
      </w:r>
      <w:r>
        <w:rPr>
          <w:color w:val="231F20"/>
          <w:spacing w:val="31"/>
        </w:rPr>
        <w:t> </w:t>
      </w:r>
      <w:r>
        <w:rPr>
          <w:color w:val="231F20"/>
        </w:rPr>
        <w:t>der</w:t>
      </w:r>
      <w:r>
        <w:rPr>
          <w:color w:val="231F20"/>
          <w:spacing w:val="32"/>
        </w:rPr>
        <w:t> </w:t>
      </w:r>
      <w:r>
        <w:rPr>
          <w:color w:val="231F20"/>
        </w:rPr>
        <w:t>PV-Anlage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gene-</w:t>
      </w:r>
      <w:r>
        <w:rPr>
          <w:color w:val="231F20"/>
          <w:spacing w:val="24"/>
        </w:rPr>
        <w:t> </w:t>
      </w:r>
      <w:r>
        <w:rPr>
          <w:color w:val="231F20"/>
        </w:rPr>
        <w:t>riert</w:t>
      </w:r>
      <w:r>
        <w:rPr>
          <w:color w:val="231F20"/>
          <w:spacing w:val="23"/>
        </w:rPr>
        <w:t> </w:t>
      </w:r>
      <w:r>
        <w:rPr>
          <w:color w:val="231F20"/>
        </w:rPr>
        <w:t>der</w:t>
      </w:r>
      <w:r>
        <w:rPr>
          <w:color w:val="231F20"/>
          <w:spacing w:val="23"/>
        </w:rPr>
        <w:t> </w:t>
      </w:r>
      <w:r>
        <w:rPr>
          <w:color w:val="231F20"/>
        </w:rPr>
        <w:t>Bauherr</w:t>
      </w:r>
      <w:r>
        <w:rPr>
          <w:color w:val="231F20"/>
          <w:spacing w:val="23"/>
        </w:rPr>
        <w:t> </w:t>
      </w:r>
      <w:r>
        <w:rPr>
          <w:color w:val="231F20"/>
        </w:rPr>
        <w:t>des</w:t>
      </w:r>
      <w:r>
        <w:rPr>
          <w:color w:val="231F20"/>
          <w:spacing w:val="23"/>
        </w:rPr>
        <w:t> </w:t>
      </w:r>
      <w:r>
        <w:rPr>
          <w:color w:val="231F20"/>
        </w:rPr>
        <w:t>Gebäudes</w:t>
      </w:r>
      <w:r>
        <w:rPr>
          <w:color w:val="231F20"/>
          <w:spacing w:val="23"/>
        </w:rPr>
        <w:t> </w:t>
      </w:r>
      <w:r>
        <w:rPr>
          <w:color w:val="231F20"/>
        </w:rPr>
        <w:t>einerseits</w:t>
      </w:r>
      <w:r>
        <w:rPr>
          <w:color w:val="231F20"/>
        </w:rPr>
        <w:t> CO</w:t>
      </w:r>
      <w:r>
        <w:rPr>
          <w:color w:val="231F20"/>
          <w:position w:val="-5"/>
          <w:sz w:val="10"/>
          <w:szCs w:val="10"/>
        </w:rPr>
        <w:t>2</w:t>
      </w:r>
      <w:r>
        <w:rPr>
          <w:color w:val="231F20"/>
        </w:rPr>
        <w:t>-freien</w:t>
      </w:r>
      <w:r>
        <w:rPr>
          <w:color w:val="231F20"/>
          <w:spacing w:val="22"/>
        </w:rPr>
        <w:t> </w:t>
      </w:r>
      <w:r>
        <w:rPr>
          <w:color w:val="231F20"/>
        </w:rPr>
        <w:t>Strom</w:t>
      </w:r>
      <w:r>
        <w:rPr>
          <w:color w:val="231F20"/>
          <w:spacing w:val="23"/>
        </w:rPr>
        <w:t> </w:t>
      </w:r>
      <w:r>
        <w:rPr>
          <w:color w:val="231F20"/>
        </w:rPr>
        <w:t>und</w:t>
      </w:r>
      <w:r>
        <w:rPr>
          <w:color w:val="231F20"/>
          <w:spacing w:val="22"/>
        </w:rPr>
        <w:t> </w:t>
      </w:r>
      <w:r>
        <w:rPr>
          <w:color w:val="231F20"/>
        </w:rPr>
        <w:t>schützt</w:t>
      </w:r>
      <w:r>
        <w:rPr>
          <w:color w:val="231F20"/>
          <w:spacing w:val="23"/>
        </w:rPr>
        <w:t> </w:t>
      </w:r>
      <w:r>
        <w:rPr>
          <w:color w:val="231F20"/>
        </w:rPr>
        <w:t>andererseits</w:t>
      </w:r>
      <w:r>
        <w:rPr>
          <w:color w:val="231F20"/>
        </w:rPr>
        <w:t> die</w:t>
      </w:r>
      <w:r>
        <w:rPr>
          <w:color w:val="231F20"/>
          <w:spacing w:val="17"/>
        </w:rPr>
        <w:t> </w:t>
      </w:r>
      <w:r>
        <w:rPr>
          <w:color w:val="231F20"/>
        </w:rPr>
        <w:t>Ausstellungs-</w:t>
      </w:r>
      <w:r>
        <w:rPr>
          <w:color w:val="231F20"/>
          <w:spacing w:val="17"/>
        </w:rPr>
        <w:t> </w:t>
      </w:r>
      <w:r>
        <w:rPr>
          <w:color w:val="231F20"/>
        </w:rPr>
        <w:t>und</w:t>
      </w:r>
      <w:r>
        <w:rPr>
          <w:color w:val="231F20"/>
          <w:spacing w:val="17"/>
        </w:rPr>
        <w:t> </w:t>
      </w:r>
      <w:r>
        <w:rPr>
          <w:color w:val="231F20"/>
        </w:rPr>
        <w:t>Abstellflächen</w:t>
      </w:r>
      <w:r>
        <w:rPr>
          <w:color w:val="231F20"/>
          <w:spacing w:val="17"/>
        </w:rPr>
        <w:t> </w:t>
      </w:r>
      <w:r>
        <w:rPr>
          <w:color w:val="231F20"/>
        </w:rPr>
        <w:t>vor</w:t>
      </w:r>
      <w:r>
        <w:rPr>
          <w:color w:val="231F20"/>
        </w:rPr>
        <w:t> Witterungseinflüssen.</w:t>
      </w:r>
      <w:r>
        <w:rPr/>
      </w:r>
    </w:p>
    <w:p>
      <w:pPr>
        <w:pStyle w:val="BodyText"/>
        <w:spacing w:line="230" w:lineRule="exact"/>
        <w:ind w:right="0" w:firstLine="226"/>
        <w:jc w:val="both"/>
      </w:pPr>
      <w:r>
        <w:rPr>
          <w:color w:val="231F20"/>
        </w:rPr>
        <w:t>Die</w:t>
      </w:r>
      <w:r>
        <w:rPr>
          <w:color w:val="231F20"/>
          <w:spacing w:val="24"/>
        </w:rPr>
        <w:t> </w:t>
      </w:r>
      <w:r>
        <w:rPr>
          <w:color w:val="231F20"/>
        </w:rPr>
        <w:t>vollständig</w:t>
      </w:r>
      <w:r>
        <w:rPr>
          <w:color w:val="231F20"/>
          <w:spacing w:val="25"/>
        </w:rPr>
        <w:t> </w:t>
      </w:r>
      <w:r>
        <w:rPr>
          <w:color w:val="231F20"/>
        </w:rPr>
        <w:t>wasserdichte</w:t>
      </w:r>
      <w:r>
        <w:rPr>
          <w:color w:val="231F20"/>
          <w:spacing w:val="24"/>
        </w:rPr>
        <w:t> </w:t>
      </w:r>
      <w:r>
        <w:rPr>
          <w:color w:val="231F20"/>
        </w:rPr>
        <w:t>PV-Anlage</w:t>
      </w:r>
      <w:r>
        <w:rPr>
          <w:color w:val="231F20"/>
        </w:rPr>
        <w:t> ist</w:t>
      </w:r>
      <w:r>
        <w:rPr>
          <w:color w:val="231F20"/>
          <w:spacing w:val="19"/>
        </w:rPr>
        <w:t> </w:t>
      </w:r>
      <w:r>
        <w:rPr>
          <w:color w:val="231F20"/>
        </w:rPr>
        <w:t>sehr</w:t>
      </w:r>
      <w:r>
        <w:rPr>
          <w:color w:val="231F20"/>
          <w:spacing w:val="19"/>
        </w:rPr>
        <w:t> </w:t>
      </w:r>
      <w:r>
        <w:rPr>
          <w:color w:val="231F20"/>
        </w:rPr>
        <w:t>gut</w:t>
      </w:r>
      <w:r>
        <w:rPr>
          <w:color w:val="231F20"/>
          <w:spacing w:val="19"/>
        </w:rPr>
        <w:t> </w:t>
      </w:r>
      <w:r>
        <w:rPr>
          <w:color w:val="231F20"/>
        </w:rPr>
        <w:t>in</w:t>
      </w:r>
      <w:r>
        <w:rPr>
          <w:color w:val="231F20"/>
          <w:spacing w:val="19"/>
        </w:rPr>
        <w:t> </w:t>
      </w:r>
      <w:r>
        <w:rPr>
          <w:color w:val="231F20"/>
        </w:rPr>
        <w:t>die</w:t>
      </w:r>
      <w:r>
        <w:rPr>
          <w:color w:val="231F20"/>
          <w:spacing w:val="19"/>
        </w:rPr>
        <w:t> </w:t>
      </w:r>
      <w:r>
        <w:rPr>
          <w:color w:val="231F20"/>
        </w:rPr>
        <w:t>Gebäudehülle</w:t>
      </w:r>
      <w:r>
        <w:rPr>
          <w:color w:val="231F20"/>
          <w:spacing w:val="19"/>
        </w:rPr>
        <w:t> </w:t>
      </w:r>
      <w:r>
        <w:rPr>
          <w:color w:val="231F20"/>
        </w:rPr>
        <w:t>des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Neu-</w:t>
      </w:r>
      <w:r>
        <w:rPr>
          <w:color w:val="231F20"/>
          <w:spacing w:val="23"/>
        </w:rPr>
        <w:t> </w:t>
      </w:r>
      <w:r>
        <w:rPr>
          <w:color w:val="231F20"/>
        </w:rPr>
        <w:t>baus</w:t>
      </w:r>
      <w:r>
        <w:rPr>
          <w:color w:val="231F20"/>
          <w:spacing w:val="5"/>
        </w:rPr>
        <w:t> </w:t>
      </w:r>
      <w:r>
        <w:rPr>
          <w:color w:val="231F20"/>
        </w:rPr>
        <w:t>integriert.</w:t>
      </w:r>
      <w:r>
        <w:rPr>
          <w:color w:val="231F20"/>
          <w:spacing w:val="5"/>
        </w:rPr>
        <w:t> </w:t>
      </w:r>
      <w:r>
        <w:rPr>
          <w:color w:val="231F20"/>
        </w:rPr>
        <w:t>Der</w:t>
      </w:r>
      <w:r>
        <w:rPr>
          <w:color w:val="231F20"/>
          <w:spacing w:val="5"/>
        </w:rPr>
        <w:t> </w:t>
      </w:r>
      <w:r>
        <w:rPr>
          <w:color w:val="231F20"/>
        </w:rPr>
        <w:t>fliessende</w:t>
      </w:r>
      <w:r>
        <w:rPr>
          <w:color w:val="231F20"/>
          <w:spacing w:val="5"/>
        </w:rPr>
        <w:t> </w:t>
      </w:r>
      <w:r>
        <w:rPr>
          <w:color w:val="231F20"/>
        </w:rPr>
        <w:t>Übergang</w:t>
      </w:r>
      <w:r>
        <w:rPr>
          <w:color w:val="231F20"/>
        </w:rPr>
        <w:t> von</w:t>
      </w:r>
      <w:r>
        <w:rPr>
          <w:color w:val="231F20"/>
          <w:spacing w:val="39"/>
        </w:rPr>
        <w:t> </w:t>
      </w:r>
      <w:r>
        <w:rPr>
          <w:color w:val="231F20"/>
        </w:rPr>
        <w:t>den</w:t>
      </w:r>
      <w:r>
        <w:rPr>
          <w:color w:val="231F20"/>
          <w:spacing w:val="40"/>
        </w:rPr>
        <w:t> </w:t>
      </w:r>
      <w:r>
        <w:rPr>
          <w:color w:val="231F20"/>
        </w:rPr>
        <w:t>Dach-</w:t>
      </w:r>
      <w:r>
        <w:rPr>
          <w:color w:val="231F20"/>
          <w:spacing w:val="39"/>
        </w:rPr>
        <w:t> </w:t>
      </w:r>
      <w:r>
        <w:rPr>
          <w:color w:val="231F20"/>
        </w:rPr>
        <w:t>zu</w:t>
      </w:r>
      <w:r>
        <w:rPr>
          <w:color w:val="231F20"/>
          <w:spacing w:val="40"/>
        </w:rPr>
        <w:t> </w:t>
      </w:r>
      <w:r>
        <w:rPr>
          <w:color w:val="231F20"/>
        </w:rPr>
        <w:t>den</w:t>
      </w:r>
      <w:r>
        <w:rPr>
          <w:color w:val="231F20"/>
          <w:spacing w:val="40"/>
        </w:rPr>
        <w:t> </w:t>
      </w:r>
      <w:r>
        <w:rPr>
          <w:color w:val="231F20"/>
        </w:rPr>
        <w:t>Fassadenmodulen</w:t>
      </w:r>
      <w:r>
        <w:rPr>
          <w:color w:val="231F20"/>
        </w:rPr>
        <w:t> wertet die PV-Anlage ästhetisch auf.</w:t>
      </w:r>
      <w:r>
        <w:rPr/>
      </w:r>
    </w:p>
    <w:p>
      <w:pPr>
        <w:spacing w:line="232" w:lineRule="auto" w:before="70"/>
        <w:ind w:left="106" w:right="0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Avec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24’000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position w:val="6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position w:val="6"/>
          <w:sz w:val="10"/>
          <w:szCs w:val="10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surface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sol,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nouveau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BEP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Galliker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Transport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AG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Al-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tishofen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(LU)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remplit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multiples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fonctions.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rez-de-chaussée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partie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utilisé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com-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me zone d’exposition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(580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position w:val="6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)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 bureau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(310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position w:val="6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).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606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kWc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4’000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position w:val="6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position w:val="6"/>
          <w:sz w:val="10"/>
          <w:szCs w:val="10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remarquablement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placée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toit.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permet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produire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courant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zéro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émission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protège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aussi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l’espace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d’expo-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sition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d’entreposage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caprices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météo.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2" w:lineRule="auto" w:before="0"/>
        <w:ind w:left="106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Totalement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étanche,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s’in-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tègre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bien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l’enveloppe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bâtiment.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tran-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sition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fluide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entre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modules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façade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toiture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la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valeur.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2" w:lineRule="auto" w:before="0"/>
        <w:ind w:left="106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Avec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520’800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kWh/a,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in-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corporée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couvre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314’100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kWh/a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before="90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/>
          <w:b/>
          <w:color w:val="231F20"/>
          <w:sz w:val="14"/>
        </w:rPr>
        <w:t>Technische </w:t>
      </w:r>
      <w:r>
        <w:rPr>
          <w:rFonts w:ascii="Theinhardt Black"/>
          <w:b/>
          <w:color w:val="231F20"/>
          <w:spacing w:val="1"/>
          <w:sz w:val="14"/>
        </w:rPr>
        <w:t>Daten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66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Wärmedämmung</w:t>
      </w:r>
      <w:r>
        <w:rPr>
          <w:rFonts w:ascii="Theinhardt Bold" w:hAnsi="Theinhardt Bold"/>
          <w:sz w:val="14"/>
        </w:rPr>
      </w:r>
    </w:p>
    <w:p>
      <w:pPr>
        <w:tabs>
          <w:tab w:pos="1326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Wand:</w:t>
        <w:tab/>
      </w:r>
      <w:r>
        <w:rPr>
          <w:rFonts w:ascii="Theinhardt Regular"/>
          <w:color w:val="231F20"/>
          <w:spacing w:val="-4"/>
          <w:sz w:val="14"/>
        </w:rPr>
        <w:t>14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36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U-Wert: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16"/>
          <w:sz w:val="14"/>
        </w:rPr>
        <w:t> </w:t>
      </w:r>
      <w:r>
        <w:rPr>
          <w:rFonts w:ascii="Theinhardt Regular"/>
          <w:color w:val="231F20"/>
          <w:spacing w:val="-5"/>
          <w:sz w:val="14"/>
        </w:rPr>
        <w:t>0.16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325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Dach:</w:t>
        <w:tab/>
      </w:r>
      <w:r>
        <w:rPr>
          <w:rFonts w:ascii="Theinhardt Regular"/>
          <w:color w:val="231F20"/>
          <w:spacing w:val="-4"/>
          <w:sz w:val="14"/>
        </w:rPr>
        <w:t>18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36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U-Wert: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17"/>
          <w:sz w:val="14"/>
        </w:rPr>
        <w:t> </w:t>
      </w:r>
      <w:r>
        <w:rPr>
          <w:rFonts w:ascii="Theinhardt Regular"/>
          <w:color w:val="231F20"/>
          <w:spacing w:val="-5"/>
          <w:sz w:val="14"/>
        </w:rPr>
        <w:t>0.13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319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Boden:</w:t>
        <w:tab/>
      </w:r>
      <w:r>
        <w:rPr>
          <w:rFonts w:ascii="Theinhardt Regular"/>
          <w:color w:val="231F20"/>
          <w:spacing w:val="-1"/>
          <w:sz w:val="14"/>
        </w:rPr>
        <w:t>22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36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U-Wert: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15"/>
          <w:sz w:val="14"/>
        </w:rPr>
        <w:t> </w:t>
      </w:r>
      <w:r>
        <w:rPr>
          <w:rFonts w:ascii="Theinhardt Regular"/>
          <w:color w:val="231F20"/>
          <w:spacing w:val="-5"/>
          <w:sz w:val="14"/>
        </w:rPr>
        <w:t>0.10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894" w:val="left" w:leader="none"/>
          <w:tab w:pos="2607" w:val="left" w:leader="none"/>
        </w:tabs>
        <w:spacing w:line="172" w:lineRule="exact" w:before="0"/>
        <w:ind w:left="106" w:right="0" w:hanging="1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Fenster:</w:t>
        <w:tab/>
        <w:t>U-Wert:</w:t>
        <w:tab/>
      </w:r>
      <w:r>
        <w:rPr>
          <w:rFonts w:ascii="Theinhardt Regular"/>
          <w:color w:val="231F20"/>
          <w:spacing w:val="-3"/>
          <w:sz w:val="14"/>
        </w:rPr>
        <w:t>0.7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3"/>
          <w:sz w:val="14"/>
        </w:rPr>
        <w:t>E</w:t>
      </w:r>
      <w:r>
        <w:rPr>
          <w:rFonts w:ascii="Theinhardt Bold"/>
          <w:b/>
          <w:color w:val="231F20"/>
          <w:spacing w:val="2"/>
          <w:sz w:val="14"/>
        </w:rPr>
        <w:t>ner</w:t>
      </w:r>
      <w:r>
        <w:rPr>
          <w:rFonts w:ascii="Theinhardt Bold"/>
          <w:b/>
          <w:color w:val="231F20"/>
          <w:spacing w:val="1"/>
          <w:sz w:val="14"/>
        </w:rPr>
        <w:t>g</w:t>
      </w:r>
      <w:r>
        <w:rPr>
          <w:rFonts w:ascii="Theinhardt Bold"/>
          <w:b/>
          <w:color w:val="231F20"/>
          <w:spacing w:val="2"/>
          <w:sz w:val="14"/>
        </w:rPr>
        <w:t>iebeda</w:t>
      </w:r>
      <w:r>
        <w:rPr>
          <w:rFonts w:ascii="Theinhardt Bold"/>
          <w:b/>
          <w:color w:val="231F20"/>
          <w:spacing w:val="4"/>
          <w:sz w:val="14"/>
        </w:rPr>
        <w:t>r</w:t>
      </w:r>
      <w:r>
        <w:rPr>
          <w:rFonts w:ascii="Theinhardt Bold"/>
          <w:b/>
          <w:color w:val="231F20"/>
          <w:sz w:val="14"/>
        </w:rPr>
        <w:t>f</w:t>
      </w:r>
      <w:r>
        <w:rPr>
          <w:rFonts w:ascii="Theinhardt Bold"/>
          <w:sz w:val="14"/>
        </w:rPr>
      </w:r>
    </w:p>
    <w:p>
      <w:pPr>
        <w:tabs>
          <w:tab w:pos="1519" w:val="left" w:leader="none"/>
          <w:tab w:pos="2418" w:val="left" w:leader="none"/>
          <w:tab w:pos="2824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EBF: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950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m</w:t>
      </w:r>
      <w:r>
        <w:rPr>
          <w:rFonts w:ascii="Theinhardt Regular"/>
          <w:color w:val="231F20"/>
          <w:spacing w:val="-1"/>
          <w:position w:val="5"/>
          <w:sz w:val="8"/>
        </w:rPr>
        <w:t>2</w:t>
        <w:tab/>
      </w:r>
      <w:r>
        <w:rPr>
          <w:rFonts w:ascii="Theinhardt Regular"/>
          <w:color w:val="231F20"/>
          <w:sz w:val="14"/>
        </w:rPr>
        <w:t>kWh/m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a</w:t>
        <w:tab/>
        <w:t>%</w:t>
        <w:tab/>
        <w:t>kWh/a</w:t>
      </w:r>
      <w:r>
        <w:rPr>
          <w:rFonts w:ascii="Theinhardt Regular"/>
          <w:sz w:val="14"/>
        </w:rPr>
      </w:r>
    </w:p>
    <w:p>
      <w:pPr>
        <w:tabs>
          <w:tab w:pos="1713" w:val="left" w:leader="none"/>
          <w:tab w:pos="2299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Gesamt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EB: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330.7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100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314’136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Energieversorgung</w:t>
      </w:r>
      <w:r>
        <w:rPr>
          <w:rFonts w:ascii="Theinhardt Bold"/>
          <w:sz w:val="14"/>
        </w:rPr>
      </w:r>
    </w:p>
    <w:p>
      <w:pPr>
        <w:tabs>
          <w:tab w:pos="611" w:val="left" w:leader="none"/>
          <w:tab w:pos="1723" w:val="left" w:leader="none"/>
          <w:tab w:pos="2299" w:val="left" w:leader="none"/>
          <w:tab w:pos="2418" w:val="left" w:leader="none"/>
          <w:tab w:pos="2824" w:val="left" w:leader="none"/>
        </w:tabs>
        <w:spacing w:line="207" w:lineRule="auto" w:before="5"/>
        <w:ind w:left="106" w:right="333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Eigen-EV: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33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      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kWp </w:t>
      </w:r>
      <w:r>
        <w:rPr>
          <w:rFonts w:ascii="Theinhardt Regular" w:hAnsi="Theinhardt Regular" w:cs="Theinhardt Regular" w:eastAsia="Theinhardt Regular"/>
          <w:color w:val="231F20"/>
          <w:spacing w:val="37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ab/>
        <w:t>%</w:t>
        <w:tab/>
        <w:t>kWh/a</w:t>
      </w:r>
      <w:r>
        <w:rPr>
          <w:rFonts w:ascii="Theinhardt Regular" w:hAnsi="Theinhardt Regular" w:cs="Theinhardt Regular" w:eastAsia="Theinhardt Regular"/>
          <w:color w:val="231F20"/>
          <w:spacing w:val="3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PV:</w:t>
        <w:tab/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4’000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</w:t>
      </w:r>
      <w:r>
        <w:rPr>
          <w:rFonts w:ascii="Theinhardt Regular" w:hAnsi="Theinhardt Regular" w:cs="Theinhardt Regular" w:eastAsia="Theinhardt Regular"/>
          <w:color w:val="231F20"/>
          <w:spacing w:val="14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606</w:t>
        <w:tab/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130.2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166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 </w:t>
      </w:r>
      <w:r>
        <w:rPr>
          <w:rFonts w:ascii="Theinhardt Bold" w:hAnsi="Theinhardt Bold" w:cs="Theinhardt Bold" w:eastAsia="Theinhardt Bold"/>
          <w:b/>
          <w:bCs/>
          <w:color w:val="231F20"/>
          <w:spacing w:val="2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520’820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418" w:val="left" w:leader="none"/>
          <w:tab w:pos="2824" w:val="left" w:leader="none"/>
        </w:tabs>
        <w:spacing w:line="172" w:lineRule="exact" w:before="38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Energiebilanz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(Endenergie)</w:t>
        <w:tab/>
      </w:r>
      <w:r>
        <w:rPr>
          <w:rFonts w:ascii="Theinhardt Regular"/>
          <w:color w:val="231F20"/>
          <w:sz w:val="14"/>
        </w:rPr>
        <w:t>%</w:t>
        <w:tab/>
      </w:r>
      <w:r>
        <w:rPr>
          <w:rFonts w:ascii="Theinhardt Regular"/>
          <w:color w:val="231F20"/>
          <w:spacing w:val="-1"/>
          <w:sz w:val="14"/>
        </w:rPr>
        <w:t>kWh/a</w:t>
      </w:r>
      <w:r>
        <w:rPr>
          <w:rFonts w:ascii="Theinhardt Regular"/>
          <w:sz w:val="14"/>
        </w:rPr>
      </w:r>
    </w:p>
    <w:p>
      <w:pPr>
        <w:tabs>
          <w:tab w:pos="2299" w:val="left" w:leader="none"/>
        </w:tabs>
        <w:spacing w:line="160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Eigenenergieversorgung: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166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 </w:t>
      </w:r>
      <w:r>
        <w:rPr>
          <w:rFonts w:ascii="Theinhardt Bold" w:hAnsi="Theinhardt Bold" w:cs="Theinhardt Bold" w:eastAsia="Theinhardt Bold"/>
          <w:b/>
          <w:bCs/>
          <w:color w:val="231F20"/>
          <w:spacing w:val="2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520’820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299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Gesamtenergiebedarf: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100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</w:t>
      </w:r>
      <w:r>
        <w:rPr>
          <w:rFonts w:ascii="Theinhardt Regular" w:hAnsi="Theinhardt Regular" w:cs="Theinhardt Regular" w:eastAsia="Theinhardt Regular"/>
          <w:color w:val="231F20"/>
          <w:spacing w:val="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4"/>
          <w:szCs w:val="14"/>
        </w:rPr>
        <w:t>314’136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378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Solarstromüberschuss: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66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 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206’684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60" w:lineRule="exact" w:before="39"/>
        <w:ind w:left="106" w:right="601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Bestätigt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von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den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3"/>
          <w:sz w:val="14"/>
        </w:rPr>
        <w:t>CKW</w:t>
      </w:r>
      <w:r>
        <w:rPr>
          <w:rFonts w:ascii="Theinhardt Bold" w:hAnsi="Theinhardt Bold"/>
          <w:b/>
          <w:color w:val="231F20"/>
          <w:spacing w:val="2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am </w:t>
      </w:r>
      <w:r>
        <w:rPr>
          <w:rFonts w:ascii="Theinhardt Regular" w:hAnsi="Theinhardt Regular"/>
          <w:color w:val="231F20"/>
          <w:spacing w:val="-2"/>
          <w:sz w:val="14"/>
        </w:rPr>
        <w:t>12.06.2017</w:t>
      </w:r>
      <w:r>
        <w:rPr>
          <w:rFonts w:ascii="Theinhardt Regular" w:hAnsi="Theinhardt Regular"/>
          <w:color w:val="231F20"/>
          <w:spacing w:val="26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Adrian</w:t>
      </w:r>
      <w:r>
        <w:rPr>
          <w:rFonts w:ascii="Theinhardt Regular" w:hAnsi="Theinhardt Regular"/>
          <w:color w:val="231F20"/>
          <w:sz w:val="14"/>
        </w:rPr>
        <w:t> Scherer, </w:t>
      </w:r>
      <w:r>
        <w:rPr>
          <w:rFonts w:ascii="Theinhardt Regular" w:hAnsi="Theinhardt Regular"/>
          <w:color w:val="231F20"/>
          <w:spacing w:val="-2"/>
          <w:sz w:val="14"/>
        </w:rPr>
        <w:t>Tel.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041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249</w:t>
      </w:r>
      <w:r>
        <w:rPr>
          <w:rFonts w:ascii="Theinhardt Regular" w:hAnsi="Theinhardt Regular"/>
          <w:color w:val="231F20"/>
          <w:sz w:val="14"/>
        </w:rPr>
        <w:t> 53 69</w:t>
      </w:r>
      <w:r>
        <w:rPr>
          <w:rFonts w:ascii="Theinhardt Regular" w:hAnsi="Theinhardt Regular"/>
          <w:sz w:val="14"/>
        </w:rPr>
      </w:r>
    </w:p>
    <w:p>
      <w:pPr>
        <w:spacing w:line="207" w:lineRule="auto" w:before="67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148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Elektrofahrzeuge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können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mit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dem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Solarstrom-</w:t>
      </w:r>
      <w:r>
        <w:rPr>
          <w:rFonts w:ascii="Theinhardt Regular" w:hAnsi="Theinhardt Regular" w:cs="Theinhardt Regular" w:eastAsia="Theinhardt Regular"/>
          <w:color w:val="231F20"/>
          <w:spacing w:val="24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überschuss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jährlich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je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12’000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km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CO</w:t>
      </w:r>
      <w:r>
        <w:rPr>
          <w:rFonts w:ascii="Theinhardt Regular" w:hAnsi="Theinhardt Regular" w:cs="Theinhardt Regular" w:eastAsia="Theinhardt Regular"/>
          <w:color w:val="231F20"/>
          <w:position w:val="-4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-frei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fahren.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spacing w:after="0" w:line="207" w:lineRule="auto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53" w:space="119"/>
            <w:col w:w="3453" w:space="119"/>
            <w:col w:w="3566"/>
          </w:cols>
        </w:sectPr>
      </w:pPr>
    </w:p>
    <w:p>
      <w:pPr>
        <w:pStyle w:val="BodyText"/>
        <w:spacing w:line="219" w:lineRule="exact"/>
        <w:ind w:left="333" w:right="0"/>
        <w:jc w:val="left"/>
      </w:pPr>
      <w:r>
        <w:rPr>
          <w:color w:val="231F20"/>
        </w:rPr>
        <w:t>Bei  </w:t>
      </w:r>
      <w:r>
        <w:rPr>
          <w:color w:val="231F20"/>
          <w:spacing w:val="2"/>
        </w:rPr>
        <w:t> </w:t>
      </w:r>
      <w:r>
        <w:rPr>
          <w:color w:val="231F20"/>
        </w:rPr>
        <w:t>einem  </w:t>
      </w:r>
      <w:r>
        <w:rPr>
          <w:color w:val="231F20"/>
          <w:spacing w:val="2"/>
        </w:rPr>
        <w:t> </w:t>
      </w:r>
      <w:r>
        <w:rPr>
          <w:color w:val="231F20"/>
        </w:rPr>
        <w:t>Gesamtenergiebedarf  </w:t>
      </w:r>
      <w:r>
        <w:rPr>
          <w:color w:val="231F20"/>
          <w:spacing w:val="2"/>
        </w:rPr>
        <w:t> </w:t>
      </w:r>
      <w:r>
        <w:rPr>
          <w:color w:val="231F20"/>
        </w:rPr>
        <w:t>von</w:t>
      </w:r>
      <w:r>
        <w:rPr/>
      </w:r>
    </w:p>
    <w:p>
      <w:pPr>
        <w:spacing w:line="47" w:lineRule="exact" w:before="0"/>
        <w:ind w:left="3758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/>
          <w:b/>
          <w:color w:val="231F20"/>
          <w:spacing w:val="2"/>
          <w:sz w:val="14"/>
        </w:rPr>
        <w:t>B</w:t>
      </w:r>
      <w:r>
        <w:rPr>
          <w:rFonts w:ascii="Theinhardt Black"/>
          <w:b/>
          <w:color w:val="231F20"/>
          <w:spacing w:val="4"/>
          <w:sz w:val="14"/>
        </w:rPr>
        <w:t>e</w:t>
      </w:r>
      <w:r>
        <w:rPr>
          <w:rFonts w:ascii="Theinhardt Black"/>
          <w:b/>
          <w:color w:val="231F20"/>
          <w:spacing w:val="3"/>
          <w:sz w:val="14"/>
        </w:rPr>
        <w:t>t</w:t>
      </w:r>
      <w:r>
        <w:rPr>
          <w:rFonts w:ascii="Theinhardt Black"/>
          <w:b/>
          <w:color w:val="231F20"/>
          <w:spacing w:val="2"/>
          <w:sz w:val="14"/>
        </w:rPr>
        <w:t>e</w:t>
      </w:r>
      <w:r>
        <w:rPr>
          <w:rFonts w:ascii="Theinhardt Black"/>
          <w:b/>
          <w:color w:val="231F20"/>
          <w:spacing w:val="1"/>
          <w:sz w:val="14"/>
        </w:rPr>
        <w:t>il</w:t>
      </w:r>
      <w:r>
        <w:rPr>
          <w:rFonts w:ascii="Theinhardt Black"/>
          <w:b/>
          <w:color w:val="231F20"/>
          <w:spacing w:val="2"/>
          <w:sz w:val="14"/>
        </w:rPr>
        <w:t>i</w:t>
      </w:r>
      <w:r>
        <w:rPr>
          <w:rFonts w:ascii="Theinhardt Black"/>
          <w:b/>
          <w:color w:val="231F20"/>
          <w:spacing w:val="4"/>
          <w:sz w:val="14"/>
        </w:rPr>
        <w:t>g</w:t>
      </w:r>
      <w:r>
        <w:rPr>
          <w:rFonts w:ascii="Theinhardt Black"/>
          <w:b/>
          <w:color w:val="231F20"/>
          <w:spacing w:val="3"/>
          <w:sz w:val="14"/>
        </w:rPr>
        <w:t>t</w:t>
      </w:r>
      <w:r>
        <w:rPr>
          <w:rFonts w:ascii="Theinhardt Black"/>
          <w:b/>
          <w:color w:val="231F20"/>
          <w:sz w:val="14"/>
        </w:rPr>
        <w:t>e </w:t>
      </w:r>
      <w:r>
        <w:rPr>
          <w:rFonts w:ascii="Theinhardt Black"/>
          <w:b/>
          <w:color w:val="231F20"/>
          <w:spacing w:val="1"/>
          <w:sz w:val="14"/>
        </w:rPr>
        <w:t>P</w:t>
      </w:r>
      <w:r>
        <w:rPr>
          <w:rFonts w:ascii="Theinhardt Black"/>
          <w:b/>
          <w:color w:val="231F20"/>
          <w:spacing w:val="2"/>
          <w:sz w:val="14"/>
        </w:rPr>
        <w:t>e</w:t>
      </w:r>
      <w:r>
        <w:rPr>
          <w:rFonts w:ascii="Theinhardt Black"/>
          <w:b/>
          <w:color w:val="231F20"/>
          <w:spacing w:val="4"/>
          <w:sz w:val="14"/>
        </w:rPr>
        <w:t>r</w:t>
      </w:r>
      <w:r>
        <w:rPr>
          <w:rFonts w:ascii="Theinhardt Black"/>
          <w:b/>
          <w:color w:val="231F20"/>
          <w:spacing w:val="3"/>
          <w:sz w:val="14"/>
        </w:rPr>
        <w:t>s</w:t>
      </w:r>
      <w:r>
        <w:rPr>
          <w:rFonts w:ascii="Theinhardt Black"/>
          <w:b/>
          <w:color w:val="231F20"/>
          <w:spacing w:val="2"/>
          <w:sz w:val="14"/>
        </w:rPr>
        <w:t>one</w:t>
      </w:r>
      <w:r>
        <w:rPr>
          <w:rFonts w:ascii="Theinhardt Black"/>
          <w:b/>
          <w:color w:val="231F20"/>
          <w:sz w:val="14"/>
        </w:rPr>
        <w:t>n</w:t>
      </w:r>
      <w:r>
        <w:rPr>
          <w:rFonts w:ascii="Theinhardt Black"/>
          <w:sz w:val="14"/>
        </w:rPr>
      </w:r>
    </w:p>
    <w:p>
      <w:pPr>
        <w:tabs>
          <w:tab w:pos="3779" w:val="left" w:leader="none"/>
          <w:tab w:pos="7090" w:val="left" w:leader="none"/>
        </w:tabs>
        <w:spacing w:line="173" w:lineRule="exact" w:before="0"/>
        <w:ind w:left="186" w:right="0" w:firstLine="0"/>
        <w:jc w:val="left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pict>
          <v:group style="position:absolute;margin-left:385.724396pt;margin-top:4.617203pt;width:.1pt;height:.1pt;mso-position-horizontal-relative:page;mso-position-vertical-relative:paragraph;z-index:-4768" coordorigin="7714,92" coordsize="2,2">
            <v:shape style="position:absolute;left:7714;top:92;width:2;height:2" coordorigin="7714,92" coordsize="0,0" path="m7714,92l7714,92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552.543396pt;margin-top:4.617203pt;width:.1pt;height:.1pt;mso-position-horizontal-relative:page;mso-position-vertical-relative:paragraph;z-index:1168" coordorigin="11051,92" coordsize="2,2">
            <v:shape style="position:absolute;left:11051;top:92;width:2;height:2" coordorigin="11051,92" coordsize="0,0" path="m11051,92l11051,92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Regular Italic" w:hAnsi="Theinhardt Regular Italic"/>
          <w:i/>
          <w:color w:val="231F20"/>
          <w:sz w:val="18"/>
        </w:rPr>
        <w:t>que</w:t>
      </w:r>
      <w:r>
        <w:rPr>
          <w:rFonts w:ascii="Theinhardt Regular Italic" w:hAnsi="Theinhardt Regular Italic"/>
          <w:i/>
          <w:color w:val="231F20"/>
          <w:spacing w:val="-8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consomme</w:t>
      </w:r>
      <w:r>
        <w:rPr>
          <w:rFonts w:ascii="Theinhardt Regular Italic" w:hAnsi="Theinhardt Regular Italic"/>
          <w:i/>
          <w:color w:val="231F20"/>
          <w:spacing w:val="-8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le</w:t>
      </w:r>
      <w:r>
        <w:rPr>
          <w:rFonts w:ascii="Theinhardt Regular Italic" w:hAnsi="Theinhardt Regular Italic"/>
          <w:i/>
          <w:color w:val="231F20"/>
          <w:spacing w:val="-8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BEP.</w:t>
      </w:r>
      <w:r>
        <w:rPr>
          <w:rFonts w:ascii="Theinhardt Regular Italic" w:hAnsi="Theinhardt Regular Italic"/>
          <w:i/>
          <w:color w:val="231F20"/>
          <w:spacing w:val="-8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Elle</w:t>
      </w:r>
      <w:r>
        <w:rPr>
          <w:rFonts w:ascii="Theinhardt Regular Italic" w:hAnsi="Theinhardt Regular Italic"/>
          <w:i/>
          <w:color w:val="231F20"/>
          <w:spacing w:val="-8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génère</w:t>
      </w:r>
      <w:r>
        <w:rPr>
          <w:rFonts w:ascii="Theinhardt Regular Italic" w:hAnsi="Theinhardt Regular Italic"/>
          <w:i/>
          <w:color w:val="231F20"/>
          <w:spacing w:val="-8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un</w:t>
      </w:r>
      <w:r>
        <w:rPr>
          <w:rFonts w:ascii="Theinhardt Regular Italic" w:hAnsi="Theinhardt Regular Italic"/>
          <w:i/>
          <w:color w:val="231F20"/>
          <w:spacing w:val="-8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excé-</w:t>
      </w:r>
      <w:r>
        <w:rPr>
          <w:rFonts w:ascii="Theinhardt Regular Italic" w:hAnsi="Theinhardt Regular Italic"/>
          <w:i/>
          <w:color w:val="231F20"/>
          <w:sz w:val="18"/>
        </w:rPr>
        <w:tab/>
      </w:r>
      <w:r>
        <w:rPr>
          <w:rFonts w:ascii="Theinhardt Regular Italic" w:hAnsi="Theinhardt Regular Italic"/>
          <w:i/>
          <w:color w:val="231F20"/>
          <w:sz w:val="18"/>
          <w:u w:val="dotted" w:color="231F20"/>
        </w:rPr>
        <w:t> </w:t>
        <w:tab/>
      </w:r>
      <w:r>
        <w:rPr>
          <w:rFonts w:ascii="Theinhardt Regular Italic" w:hAnsi="Theinhardt Regular Italic"/>
          <w:i/>
          <w:color w:val="231F20"/>
          <w:sz w:val="18"/>
        </w:rPr>
      </w:r>
      <w:r>
        <w:rPr>
          <w:rFonts w:ascii="Theinhardt Regular Italic" w:hAnsi="Theinhardt Regular Italic"/>
          <w:sz w:val="18"/>
        </w:rPr>
      </w:r>
    </w:p>
    <w:p>
      <w:pPr>
        <w:spacing w:after="0" w:line="173" w:lineRule="exact"/>
        <w:jc w:val="left"/>
        <w:rPr>
          <w:rFonts w:ascii="Theinhardt Regular Italic" w:hAnsi="Theinhardt Regular Italic" w:cs="Theinhardt Regular Italic" w:eastAsia="Theinhardt Regular Italic"/>
          <w:sz w:val="18"/>
          <w:szCs w:val="18"/>
        </w:rPr>
        <w:sectPr>
          <w:type w:val="continuous"/>
          <w:pgSz w:w="11910" w:h="16840"/>
          <w:pgMar w:top="840" w:bottom="280" w:left="460" w:right="740"/>
          <w:cols w:num="2" w:equalWidth="0">
            <w:col w:w="3453" w:space="40"/>
            <w:col w:w="7217"/>
          </w:cols>
        </w:sectPr>
      </w:pPr>
    </w:p>
    <w:p>
      <w:pPr>
        <w:pStyle w:val="BodyText"/>
        <w:spacing w:line="232" w:lineRule="auto" w:before="10"/>
        <w:ind w:right="0"/>
        <w:jc w:val="both"/>
      </w:pPr>
      <w:r>
        <w:rPr>
          <w:color w:val="231F20"/>
        </w:rPr>
        <w:t>314’100</w:t>
      </w:r>
      <w:r>
        <w:rPr>
          <w:color w:val="231F20"/>
          <w:spacing w:val="-13"/>
        </w:rPr>
        <w:t> </w:t>
      </w:r>
      <w:r>
        <w:rPr>
          <w:color w:val="231F20"/>
        </w:rPr>
        <w:t>kWh/a</w:t>
      </w:r>
      <w:r>
        <w:rPr>
          <w:color w:val="231F20"/>
          <w:spacing w:val="-13"/>
        </w:rPr>
        <w:t> </w:t>
      </w:r>
      <w:r>
        <w:rPr>
          <w:color w:val="231F20"/>
        </w:rPr>
        <w:t>erzeugt</w:t>
      </w:r>
      <w:r>
        <w:rPr>
          <w:color w:val="231F20"/>
          <w:spacing w:val="-13"/>
        </w:rPr>
        <w:t> </w:t>
      </w:r>
      <w:r>
        <w:rPr>
          <w:color w:val="231F20"/>
        </w:rPr>
        <w:t>die</w:t>
      </w:r>
      <w:r>
        <w:rPr>
          <w:color w:val="231F20"/>
          <w:spacing w:val="-13"/>
        </w:rPr>
        <w:t> </w:t>
      </w:r>
      <w:r>
        <w:rPr>
          <w:color w:val="231F20"/>
        </w:rPr>
        <w:t>sorgfältig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dach-</w:t>
      </w:r>
      <w:r>
        <w:rPr>
          <w:color w:val="231F20"/>
          <w:spacing w:val="24"/>
        </w:rPr>
        <w:t> </w:t>
      </w:r>
      <w:r>
        <w:rPr>
          <w:color w:val="231F20"/>
        </w:rPr>
        <w:t>integrierte</w:t>
      </w:r>
      <w:r>
        <w:rPr>
          <w:color w:val="231F20"/>
          <w:spacing w:val="6"/>
        </w:rPr>
        <w:t> </w:t>
      </w:r>
      <w:r>
        <w:rPr>
          <w:color w:val="231F20"/>
        </w:rPr>
        <w:t>PV-Anlage</w:t>
      </w:r>
      <w:r>
        <w:rPr>
          <w:color w:val="231F20"/>
          <w:spacing w:val="6"/>
        </w:rPr>
        <w:t> </w:t>
      </w:r>
      <w:r>
        <w:rPr>
          <w:color w:val="231F20"/>
        </w:rPr>
        <w:t>des</w:t>
      </w:r>
      <w:r>
        <w:rPr>
          <w:color w:val="231F20"/>
          <w:spacing w:val="6"/>
        </w:rPr>
        <w:t> </w:t>
      </w:r>
      <w:r>
        <w:rPr>
          <w:color w:val="231F20"/>
        </w:rPr>
        <w:t>PlusEnergieBaus</w:t>
      </w:r>
      <w:r>
        <w:rPr>
          <w:color w:val="231F20"/>
        </w:rPr>
        <w:t> 520’800</w:t>
      </w:r>
      <w:r>
        <w:rPr>
          <w:color w:val="231F20"/>
          <w:spacing w:val="7"/>
        </w:rPr>
        <w:t> </w:t>
      </w:r>
      <w:r>
        <w:rPr>
          <w:color w:val="231F20"/>
        </w:rPr>
        <w:t>kWh/a</w:t>
      </w:r>
      <w:r>
        <w:rPr>
          <w:color w:val="231F20"/>
          <w:spacing w:val="7"/>
        </w:rPr>
        <w:t> </w:t>
      </w:r>
      <w:r>
        <w:rPr>
          <w:color w:val="231F20"/>
        </w:rPr>
        <w:t>und</w:t>
      </w:r>
      <w:r>
        <w:rPr>
          <w:color w:val="231F20"/>
          <w:spacing w:val="7"/>
        </w:rPr>
        <w:t> </w:t>
      </w:r>
      <w:r>
        <w:rPr>
          <w:color w:val="231F20"/>
        </w:rPr>
        <w:t>generiert</w:t>
      </w:r>
      <w:r>
        <w:rPr>
          <w:color w:val="231F20"/>
          <w:spacing w:val="7"/>
        </w:rPr>
        <w:t> </w:t>
      </w:r>
      <w:r>
        <w:rPr>
          <w:color w:val="231F20"/>
        </w:rPr>
        <w:t>einen</w:t>
      </w:r>
      <w:r>
        <w:rPr>
          <w:color w:val="231F20"/>
          <w:spacing w:val="7"/>
        </w:rPr>
        <w:t> </w:t>
      </w:r>
      <w:r>
        <w:rPr>
          <w:color w:val="231F20"/>
        </w:rPr>
        <w:t>Solar-</w:t>
      </w:r>
      <w:r>
        <w:rPr>
          <w:color w:val="231F20"/>
        </w:rPr>
        <w:t> stromüberschuss</w:t>
      </w:r>
      <w:r>
        <w:rPr>
          <w:color w:val="231F20"/>
          <w:spacing w:val="2"/>
        </w:rPr>
        <w:t> </w:t>
      </w:r>
      <w:r>
        <w:rPr>
          <w:color w:val="231F20"/>
        </w:rPr>
        <w:t>von</w:t>
      </w:r>
      <w:r>
        <w:rPr>
          <w:color w:val="231F20"/>
          <w:spacing w:val="2"/>
        </w:rPr>
        <w:t> </w:t>
      </w:r>
      <w:r>
        <w:rPr>
          <w:color w:val="231F20"/>
        </w:rPr>
        <w:t>206’700</w:t>
      </w:r>
      <w:r>
        <w:rPr>
          <w:color w:val="231F20"/>
          <w:spacing w:val="2"/>
        </w:rPr>
        <w:t> </w:t>
      </w:r>
      <w:r>
        <w:rPr>
          <w:color w:val="231F20"/>
        </w:rPr>
        <w:t>kWh/a</w:t>
      </w:r>
      <w:r>
        <w:rPr>
          <w:color w:val="231F20"/>
          <w:spacing w:val="2"/>
        </w:rPr>
        <w:t> </w:t>
      </w:r>
      <w:r>
        <w:rPr>
          <w:color w:val="231F20"/>
        </w:rPr>
        <w:t>oder</w:t>
      </w:r>
      <w:r>
        <w:rPr>
          <w:color w:val="231F20"/>
        </w:rPr>
        <w:t> 66%.</w:t>
      </w:r>
      <w:r>
        <w:rPr>
          <w:color w:val="231F20"/>
          <w:spacing w:val="5"/>
        </w:rPr>
        <w:t> </w:t>
      </w:r>
      <w:r>
        <w:rPr>
          <w:color w:val="231F20"/>
        </w:rPr>
        <w:t>Damit</w:t>
      </w:r>
      <w:r>
        <w:rPr>
          <w:color w:val="231F20"/>
          <w:spacing w:val="5"/>
        </w:rPr>
        <w:t> </w:t>
      </w:r>
      <w:r>
        <w:rPr>
          <w:color w:val="231F20"/>
        </w:rPr>
        <w:t>können</w:t>
      </w:r>
      <w:r>
        <w:rPr>
          <w:color w:val="231F20"/>
          <w:spacing w:val="5"/>
        </w:rPr>
        <w:t> </w:t>
      </w:r>
      <w:r>
        <w:rPr>
          <w:color w:val="231F20"/>
        </w:rPr>
        <w:t>148</w:t>
      </w:r>
      <w:r>
        <w:rPr>
          <w:color w:val="231F20"/>
          <w:spacing w:val="5"/>
        </w:rPr>
        <w:t> </w:t>
      </w:r>
      <w:r>
        <w:rPr>
          <w:color w:val="231F20"/>
        </w:rPr>
        <w:t>Elektroautos</w:t>
      </w:r>
      <w:r>
        <w:rPr>
          <w:color w:val="231F20"/>
          <w:spacing w:val="5"/>
        </w:rPr>
        <w:t> </w:t>
      </w:r>
      <w:r>
        <w:rPr>
          <w:color w:val="231F20"/>
        </w:rPr>
        <w:t>jähr-</w:t>
      </w:r>
      <w:r>
        <w:rPr>
          <w:color w:val="231F20"/>
        </w:rPr>
        <w:t> lich 12’000</w:t>
      </w:r>
      <w:r>
        <w:rPr>
          <w:color w:val="231F20"/>
          <w:spacing w:val="1"/>
        </w:rPr>
        <w:t> </w:t>
      </w:r>
      <w:r>
        <w:rPr>
          <w:color w:val="231F20"/>
        </w:rPr>
        <w:t>km </w:t>
      </w: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5"/>
          <w:sz w:val="10"/>
          <w:szCs w:val="10"/>
        </w:rPr>
        <w:t>2</w:t>
      </w:r>
      <w:r>
        <w:rPr>
          <w:color w:val="231F20"/>
          <w:spacing w:val="-1"/>
        </w:rPr>
        <w:t>-frei</w:t>
      </w:r>
      <w:r>
        <w:rPr>
          <w:color w:val="231F20"/>
          <w:spacing w:val="1"/>
        </w:rPr>
        <w:t> </w:t>
      </w:r>
      <w:r>
        <w:rPr>
          <w:color w:val="231F20"/>
        </w:rPr>
        <w:t>fahren.</w:t>
      </w:r>
      <w:r>
        <w:rPr/>
      </w:r>
    </w:p>
    <w:p>
      <w:pPr>
        <w:pStyle w:val="BodyText"/>
        <w:spacing w:line="197" w:lineRule="exact"/>
        <w:ind w:right="0" w:firstLine="226"/>
        <w:jc w:val="both"/>
      </w:pPr>
      <w:r>
        <w:rPr>
          <w:color w:val="231F20"/>
        </w:rPr>
        <w:t>Der</w:t>
      </w:r>
      <w:r>
        <w:rPr>
          <w:color w:val="231F20"/>
          <w:spacing w:val="-6"/>
        </w:rPr>
        <w:t> </w:t>
      </w:r>
      <w:r>
        <w:rPr>
          <w:color w:val="231F20"/>
        </w:rPr>
        <w:t>nicht</w:t>
      </w:r>
      <w:r>
        <w:rPr>
          <w:color w:val="231F20"/>
          <w:spacing w:val="-6"/>
        </w:rPr>
        <w:t> </w:t>
      </w:r>
      <w:r>
        <w:rPr>
          <w:color w:val="231F20"/>
        </w:rPr>
        <w:t>eingespeiste</w:t>
      </w:r>
      <w:r>
        <w:rPr>
          <w:color w:val="231F20"/>
          <w:spacing w:val="-6"/>
        </w:rPr>
        <w:t> </w:t>
      </w:r>
      <w:r>
        <w:rPr>
          <w:color w:val="231F20"/>
        </w:rPr>
        <w:t>PV-Strom</w:t>
      </w:r>
      <w:r>
        <w:rPr>
          <w:color w:val="231F20"/>
          <w:spacing w:val="-6"/>
        </w:rPr>
        <w:t> </w:t>
      </w:r>
      <w:r>
        <w:rPr>
          <w:color w:val="231F20"/>
        </w:rPr>
        <w:t>wird</w:t>
      </w:r>
      <w:r>
        <w:rPr>
          <w:color w:val="231F20"/>
          <w:spacing w:val="-6"/>
        </w:rPr>
        <w:t> </w:t>
      </w:r>
      <w:r>
        <w:rPr>
          <w:color w:val="231F20"/>
        </w:rPr>
        <w:t>für</w:t>
      </w:r>
      <w:r>
        <w:rPr/>
      </w:r>
    </w:p>
    <w:p>
      <w:pPr>
        <w:pStyle w:val="BodyText"/>
        <w:spacing w:line="232" w:lineRule="auto" w:before="1"/>
        <w:ind w:right="0"/>
        <w:jc w:val="both"/>
      </w:pPr>
      <w:r>
        <w:rPr>
          <w:color w:val="231F20"/>
        </w:rPr>
        <w:t>die</w:t>
      </w:r>
      <w:r>
        <w:rPr>
          <w:color w:val="231F20"/>
          <w:spacing w:val="20"/>
        </w:rPr>
        <w:t> </w:t>
      </w:r>
      <w:r>
        <w:rPr>
          <w:color w:val="231F20"/>
        </w:rPr>
        <w:t>drei</w:t>
      </w:r>
      <w:r>
        <w:rPr>
          <w:color w:val="231F20"/>
          <w:spacing w:val="20"/>
        </w:rPr>
        <w:t> </w:t>
      </w:r>
      <w:r>
        <w:rPr>
          <w:color w:val="231F20"/>
        </w:rPr>
        <w:t>Lüftungsanlagen</w:t>
      </w:r>
      <w:r>
        <w:rPr>
          <w:color w:val="231F20"/>
          <w:spacing w:val="20"/>
        </w:rPr>
        <w:t> </w:t>
      </w:r>
      <w:r>
        <w:rPr>
          <w:color w:val="231F20"/>
        </w:rPr>
        <w:t>mit</w:t>
      </w:r>
      <w:r>
        <w:rPr>
          <w:color w:val="231F20"/>
          <w:spacing w:val="20"/>
        </w:rPr>
        <w:t> </w:t>
      </w:r>
      <w:r>
        <w:rPr>
          <w:color w:val="231F20"/>
        </w:rPr>
        <w:t>bis</w:t>
      </w:r>
      <w:r>
        <w:rPr>
          <w:color w:val="231F20"/>
          <w:spacing w:val="20"/>
        </w:rPr>
        <w:t> </w:t>
      </w:r>
      <w:r>
        <w:rPr>
          <w:color w:val="231F20"/>
        </w:rPr>
        <w:t>zu</w:t>
      </w:r>
      <w:r>
        <w:rPr>
          <w:color w:val="231F20"/>
          <w:spacing w:val="20"/>
        </w:rPr>
        <w:t> </w:t>
      </w:r>
      <w:r>
        <w:rPr>
          <w:color w:val="231F20"/>
        </w:rPr>
        <w:t>2’000</w:t>
      </w:r>
      <w:r>
        <w:rPr>
          <w:color w:val="231F20"/>
        </w:rPr>
        <w:t> m</w:t>
      </w:r>
      <w:r>
        <w:rPr>
          <w:color w:val="231F20"/>
          <w:position w:val="6"/>
          <w:sz w:val="10"/>
          <w:szCs w:val="10"/>
        </w:rPr>
        <w:t>3 </w:t>
      </w:r>
      <w:r>
        <w:rPr>
          <w:color w:val="231F20"/>
        </w:rPr>
        <w:t>pro</w:t>
      </w:r>
      <w:r>
        <w:rPr>
          <w:color w:val="231F20"/>
          <w:spacing w:val="5"/>
        </w:rPr>
        <w:t> </w:t>
      </w:r>
      <w:r>
        <w:rPr>
          <w:color w:val="231F20"/>
        </w:rPr>
        <w:t>Stunde</w:t>
      </w:r>
      <w:r>
        <w:rPr>
          <w:color w:val="231F20"/>
          <w:spacing w:val="6"/>
        </w:rPr>
        <w:t> </w:t>
      </w:r>
      <w:r>
        <w:rPr>
          <w:color w:val="231F20"/>
        </w:rPr>
        <w:t>für</w:t>
      </w:r>
      <w:r>
        <w:rPr>
          <w:color w:val="231F20"/>
          <w:spacing w:val="5"/>
        </w:rPr>
        <w:t> </w:t>
      </w:r>
      <w:r>
        <w:rPr>
          <w:color w:val="231F20"/>
        </w:rPr>
        <w:t>den</w:t>
      </w:r>
      <w:r>
        <w:rPr>
          <w:color w:val="231F20"/>
          <w:spacing w:val="5"/>
        </w:rPr>
        <w:t> </w:t>
      </w:r>
      <w:r>
        <w:rPr>
          <w:color w:val="231F20"/>
        </w:rPr>
        <w:t>Betrieb</w:t>
      </w:r>
      <w:r>
        <w:rPr>
          <w:color w:val="231F20"/>
          <w:spacing w:val="6"/>
        </w:rPr>
        <w:t> </w:t>
      </w:r>
      <w:r>
        <w:rPr>
          <w:color w:val="231F20"/>
        </w:rPr>
        <w:t>genutzt.</w:t>
      </w:r>
      <w:r>
        <w:rPr>
          <w:color w:val="231F20"/>
          <w:spacing w:val="5"/>
        </w:rPr>
        <w:t> </w:t>
      </w:r>
      <w:r>
        <w:rPr>
          <w:color w:val="231F20"/>
        </w:rPr>
        <w:t>Der</w:t>
      </w:r>
      <w:r>
        <w:rPr>
          <w:color w:val="231F20"/>
        </w:rPr>
        <w:t> mechanische</w:t>
      </w:r>
      <w:r>
        <w:rPr>
          <w:color w:val="231F20"/>
          <w:spacing w:val="34"/>
        </w:rPr>
        <w:t> </w:t>
      </w:r>
      <w:r>
        <w:rPr>
          <w:color w:val="231F20"/>
        </w:rPr>
        <w:t>Rauch-</w:t>
      </w:r>
      <w:r>
        <w:rPr>
          <w:color w:val="231F20"/>
          <w:spacing w:val="35"/>
        </w:rPr>
        <w:t> </w:t>
      </w:r>
      <w:r>
        <w:rPr>
          <w:color w:val="231F20"/>
        </w:rPr>
        <w:t>und</w:t>
      </w:r>
      <w:r>
        <w:rPr>
          <w:color w:val="231F20"/>
          <w:spacing w:val="34"/>
        </w:rPr>
        <w:t> </w:t>
      </w:r>
      <w:r>
        <w:rPr>
          <w:color w:val="231F20"/>
        </w:rPr>
        <w:t>Wärmeabzug</w:t>
      </w:r>
      <w:r>
        <w:rPr>
          <w:color w:val="231F20"/>
          <w:spacing w:val="35"/>
        </w:rPr>
        <w:t> </w:t>
      </w:r>
      <w:r>
        <w:rPr>
          <w:color w:val="231F20"/>
        </w:rPr>
        <w:t>in</w:t>
      </w:r>
      <w:r>
        <w:rPr>
          <w:color w:val="231F20"/>
        </w:rPr>
        <w:t> den</w:t>
      </w:r>
      <w:r>
        <w:rPr>
          <w:color w:val="231F20"/>
          <w:spacing w:val="37"/>
        </w:rPr>
        <w:t> </w:t>
      </w:r>
      <w:r>
        <w:rPr>
          <w:color w:val="231F20"/>
        </w:rPr>
        <w:t>Autohallen</w:t>
      </w:r>
      <w:r>
        <w:rPr>
          <w:color w:val="231F20"/>
          <w:spacing w:val="38"/>
        </w:rPr>
        <w:t> </w:t>
      </w:r>
      <w:r>
        <w:rPr>
          <w:color w:val="231F20"/>
        </w:rPr>
        <w:t>weist</w:t>
      </w:r>
      <w:r>
        <w:rPr>
          <w:color w:val="231F20"/>
          <w:spacing w:val="37"/>
        </w:rPr>
        <w:t> </w:t>
      </w:r>
      <w:r>
        <w:rPr>
          <w:color w:val="231F20"/>
        </w:rPr>
        <w:t>bei</w:t>
      </w:r>
      <w:r>
        <w:rPr>
          <w:color w:val="231F20"/>
          <w:spacing w:val="38"/>
        </w:rPr>
        <w:t> </w:t>
      </w:r>
      <w:r>
        <w:rPr>
          <w:color w:val="231F20"/>
        </w:rPr>
        <w:t>Zuluft</w:t>
      </w:r>
      <w:r>
        <w:rPr>
          <w:color w:val="231F20"/>
          <w:spacing w:val="38"/>
        </w:rPr>
        <w:t> </w:t>
      </w:r>
      <w:r>
        <w:rPr>
          <w:color w:val="231F20"/>
        </w:rPr>
        <w:t>maximale</w:t>
      </w:r>
      <w:r>
        <w:rPr>
          <w:color w:val="231F20"/>
        </w:rPr>
        <w:t> Volumenströme</w:t>
      </w:r>
      <w:r>
        <w:rPr>
          <w:color w:val="231F20"/>
          <w:spacing w:val="24"/>
        </w:rPr>
        <w:t> </w:t>
      </w:r>
      <w:r>
        <w:rPr>
          <w:color w:val="231F20"/>
        </w:rPr>
        <w:t>von</w:t>
      </w:r>
      <w:r>
        <w:rPr>
          <w:color w:val="231F20"/>
          <w:spacing w:val="24"/>
        </w:rPr>
        <w:t> </w:t>
      </w:r>
      <w:r>
        <w:rPr>
          <w:color w:val="231F20"/>
        </w:rPr>
        <w:t>65’000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6"/>
          <w:sz w:val="10"/>
          <w:szCs w:val="10"/>
        </w:rPr>
        <w:t>3</w:t>
      </w:r>
      <w:r>
        <w:rPr>
          <w:color w:val="231F20"/>
          <w:spacing w:val="-1"/>
        </w:rPr>
        <w:t>/h</w:t>
      </w:r>
      <w:r>
        <w:rPr>
          <w:color w:val="231F20"/>
          <w:spacing w:val="24"/>
        </w:rPr>
        <w:t> </w:t>
      </w:r>
      <w:r>
        <w:rPr>
          <w:color w:val="231F20"/>
        </w:rPr>
        <w:t>und</w:t>
      </w:r>
      <w:r>
        <w:rPr>
          <w:color w:val="231F20"/>
          <w:spacing w:val="24"/>
        </w:rPr>
        <w:t> </w:t>
      </w:r>
      <w:r>
        <w:rPr>
          <w:color w:val="231F20"/>
        </w:rPr>
        <w:t>bei</w:t>
      </w:r>
      <w:r>
        <w:rPr>
          <w:color w:val="231F20"/>
          <w:spacing w:val="23"/>
        </w:rPr>
        <w:t> </w:t>
      </w:r>
      <w:r>
        <w:rPr>
          <w:color w:val="231F20"/>
        </w:rPr>
        <w:t>Abluft von</w:t>
      </w:r>
      <w:r>
        <w:rPr>
          <w:color w:val="231F20"/>
          <w:spacing w:val="1"/>
        </w:rPr>
        <w:t> </w:t>
      </w:r>
      <w:r>
        <w:rPr>
          <w:color w:val="231F20"/>
        </w:rPr>
        <w:t>70’000 m</w:t>
      </w:r>
      <w:r>
        <w:rPr>
          <w:color w:val="231F20"/>
          <w:position w:val="6"/>
          <w:sz w:val="10"/>
          <w:szCs w:val="10"/>
        </w:rPr>
        <w:t>3</w:t>
      </w:r>
      <w:r>
        <w:rPr>
          <w:color w:val="231F20"/>
        </w:rPr>
        <w:t>/h</w:t>
      </w:r>
      <w:r>
        <w:rPr>
          <w:color w:val="231F20"/>
          <w:spacing w:val="1"/>
        </w:rPr>
        <w:t> </w:t>
      </w:r>
      <w:r>
        <w:rPr>
          <w:color w:val="231F20"/>
        </w:rPr>
        <w:t>auf.</w:t>
      </w:r>
      <w:r>
        <w:rPr/>
      </w:r>
    </w:p>
    <w:p>
      <w:pPr>
        <w:pStyle w:val="BodyText"/>
        <w:spacing w:line="228" w:lineRule="auto" w:before="2"/>
        <w:ind w:right="0" w:firstLine="226"/>
        <w:jc w:val="both"/>
      </w:pPr>
      <w:r>
        <w:rPr>
          <w:color w:val="231F20"/>
        </w:rPr>
        <w:t>Mit</w:t>
      </w:r>
      <w:r>
        <w:rPr>
          <w:color w:val="231F20"/>
          <w:spacing w:val="45"/>
        </w:rPr>
        <w:t> </w:t>
      </w:r>
      <w:r>
        <w:rPr>
          <w:color w:val="231F20"/>
        </w:rPr>
        <w:t>diesem</w:t>
      </w:r>
      <w:r>
        <w:rPr>
          <w:color w:val="231F20"/>
          <w:spacing w:val="46"/>
        </w:rPr>
        <w:t> </w:t>
      </w:r>
      <w:r>
        <w:rPr>
          <w:color w:val="231F20"/>
        </w:rPr>
        <w:t>eleganten</w:t>
      </w:r>
      <w:r>
        <w:rPr>
          <w:color w:val="231F20"/>
          <w:spacing w:val="45"/>
        </w:rPr>
        <w:t> </w:t>
      </w:r>
      <w:r>
        <w:rPr>
          <w:color w:val="231F20"/>
        </w:rPr>
        <w:t>PlusEnergie-</w:t>
      </w:r>
      <w:r>
        <w:rPr>
          <w:color w:val="231F20"/>
        </w:rPr>
        <w:t> Industriebau</w:t>
      </w:r>
      <w:r>
        <w:rPr>
          <w:color w:val="231F20"/>
          <w:spacing w:val="-6"/>
        </w:rPr>
        <w:t> </w:t>
      </w:r>
      <w:r>
        <w:rPr>
          <w:color w:val="231F20"/>
        </w:rPr>
        <w:t>sorgen</w:t>
      </w:r>
      <w:r>
        <w:rPr>
          <w:color w:val="231F20"/>
          <w:spacing w:val="-6"/>
        </w:rPr>
        <w:t> </w:t>
      </w:r>
      <w:r>
        <w:rPr>
          <w:color w:val="231F20"/>
        </w:rPr>
        <w:t>die</w:t>
      </w:r>
      <w:r>
        <w:rPr>
          <w:color w:val="231F20"/>
          <w:spacing w:val="-6"/>
        </w:rPr>
        <w:t> </w:t>
      </w:r>
      <w:r>
        <w:rPr>
          <w:color w:val="231F20"/>
        </w:rPr>
        <w:t>CKW</w:t>
      </w:r>
      <w:r>
        <w:rPr>
          <w:color w:val="231F20"/>
          <w:spacing w:val="-6"/>
        </w:rPr>
        <w:t> </w:t>
      </w:r>
      <w:r>
        <w:rPr>
          <w:color w:val="231F20"/>
        </w:rPr>
        <w:t>für</w:t>
      </w:r>
      <w:r>
        <w:rPr>
          <w:color w:val="231F20"/>
          <w:spacing w:val="-6"/>
        </w:rPr>
        <w:t> </w:t>
      </w:r>
      <w:r>
        <w:rPr>
          <w:color w:val="231F20"/>
        </w:rPr>
        <w:t>eine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nach-</w:t>
      </w:r>
      <w:r>
        <w:rPr>
          <w:color w:val="231F20"/>
          <w:spacing w:val="24"/>
        </w:rPr>
        <w:t> </w:t>
      </w:r>
      <w:r>
        <w:rPr>
          <w:color w:val="231F20"/>
        </w:rPr>
        <w:t>haltige</w:t>
      </w:r>
      <w:r>
        <w:rPr>
          <w:color w:val="231F20"/>
          <w:spacing w:val="37"/>
        </w:rPr>
        <w:t> </w:t>
      </w:r>
      <w:r>
        <w:rPr>
          <w:color w:val="231F20"/>
        </w:rPr>
        <w:t>und</w:t>
      </w:r>
      <w:r>
        <w:rPr>
          <w:color w:val="231F20"/>
          <w:spacing w:val="38"/>
        </w:rPr>
        <w:t> </w:t>
      </w:r>
      <w:r>
        <w:rPr>
          <w:color w:val="231F20"/>
        </w:rPr>
        <w:t>energieeffiziente</w:t>
      </w:r>
      <w:r>
        <w:rPr>
          <w:color w:val="231F20"/>
          <w:spacing w:val="36"/>
        </w:rPr>
        <w:t> </w:t>
      </w:r>
      <w:r>
        <w:rPr>
          <w:color w:val="231F20"/>
        </w:rPr>
        <w:t>Gesamten-</w:t>
      </w:r>
      <w:r>
        <w:rPr>
          <w:color w:val="231F20"/>
        </w:rPr>
        <w:t> ergieversorgung,</w:t>
      </w:r>
      <w:r>
        <w:rPr>
          <w:color w:val="231F20"/>
          <w:spacing w:val="-14"/>
        </w:rPr>
        <w:t> </w:t>
      </w:r>
      <w:r>
        <w:rPr>
          <w:color w:val="231F20"/>
        </w:rPr>
        <w:t>die</w:t>
      </w:r>
      <w:r>
        <w:rPr>
          <w:color w:val="231F20"/>
          <w:spacing w:val="-14"/>
        </w:rPr>
        <w:t> </w:t>
      </w:r>
      <w:r>
        <w:rPr>
          <w:color w:val="231F20"/>
        </w:rPr>
        <w:t>ökologisch</w:t>
      </w:r>
      <w:r>
        <w:rPr>
          <w:color w:val="231F20"/>
          <w:spacing w:val="-14"/>
        </w:rPr>
        <w:t> </w:t>
      </w:r>
      <w:r>
        <w:rPr>
          <w:color w:val="231F20"/>
        </w:rPr>
        <w:t>und</w:t>
      </w:r>
      <w:r>
        <w:rPr>
          <w:color w:val="231F20"/>
          <w:spacing w:val="-14"/>
        </w:rPr>
        <w:t> </w:t>
      </w:r>
      <w:r>
        <w:rPr>
          <w:color w:val="231F20"/>
        </w:rPr>
        <w:t>ökono-</w:t>
      </w:r>
      <w:r>
        <w:rPr>
          <w:color w:val="231F20"/>
        </w:rPr>
        <w:t> misch</w:t>
      </w:r>
      <w:r>
        <w:rPr>
          <w:color w:val="231F20"/>
          <w:spacing w:val="-1"/>
        </w:rPr>
        <w:t> </w:t>
      </w:r>
      <w:r>
        <w:rPr>
          <w:color w:val="231F20"/>
        </w:rPr>
        <w:t>beeindruckt.</w:t>
      </w:r>
      <w:r>
        <w:rPr>
          <w:color w:val="231F20"/>
          <w:spacing w:val="-1"/>
        </w:rPr>
        <w:t> </w:t>
      </w:r>
      <w:r>
        <w:rPr>
          <w:color w:val="231F20"/>
        </w:rPr>
        <w:t>Auch</w:t>
      </w:r>
      <w:r>
        <w:rPr>
          <w:color w:val="231F20"/>
          <w:spacing w:val="-1"/>
        </w:rPr>
        <w:t> </w:t>
      </w:r>
      <w:r>
        <w:rPr>
          <w:color w:val="231F20"/>
        </w:rPr>
        <w:t>im</w:t>
      </w:r>
      <w:r>
        <w:rPr>
          <w:color w:val="231F20"/>
          <w:spacing w:val="-1"/>
        </w:rPr>
        <w:t> </w:t>
      </w:r>
      <w:r>
        <w:rPr>
          <w:color w:val="231F20"/>
        </w:rPr>
        <w:t>Verkehrssektor</w:t>
      </w:r>
      <w:r>
        <w:rPr>
          <w:color w:val="231F20"/>
          <w:spacing w:val="24"/>
        </w:rPr>
        <w:t> </w:t>
      </w:r>
      <w:r>
        <w:rPr>
          <w:color w:val="231F20"/>
        </w:rPr>
        <w:t>überzeugt</w:t>
      </w:r>
      <w:r>
        <w:rPr>
          <w:color w:val="231F20"/>
          <w:spacing w:val="8"/>
        </w:rPr>
        <w:t> </w:t>
      </w:r>
      <w:r>
        <w:rPr>
          <w:color w:val="231F20"/>
        </w:rPr>
        <w:t>die</w:t>
      </w:r>
      <w:r>
        <w:rPr>
          <w:color w:val="231F20"/>
          <w:spacing w:val="8"/>
        </w:rPr>
        <w:t> </w:t>
      </w:r>
      <w:r>
        <w:rPr>
          <w:color w:val="231F20"/>
        </w:rPr>
        <w:t>CKW</w:t>
      </w:r>
      <w:r>
        <w:rPr>
          <w:color w:val="231F20"/>
          <w:spacing w:val="8"/>
        </w:rPr>
        <w:t> </w:t>
      </w:r>
      <w:r>
        <w:rPr>
          <w:color w:val="231F20"/>
        </w:rPr>
        <w:t>mit</w:t>
      </w:r>
      <w:r>
        <w:rPr>
          <w:color w:val="231F20"/>
          <w:spacing w:val="8"/>
        </w:rPr>
        <w:t> </w:t>
      </w:r>
      <w:r>
        <w:rPr>
          <w:color w:val="231F20"/>
        </w:rPr>
        <w:t>ihrer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solarbetriebe-</w:t>
      </w:r>
      <w:r>
        <w:rPr>
          <w:color w:val="231F20"/>
          <w:spacing w:val="26"/>
        </w:rPr>
        <w:t> </w:t>
      </w:r>
      <w:r>
        <w:rPr>
          <w:color w:val="231F20"/>
        </w:rPr>
        <w:t>nen</w:t>
      </w:r>
      <w:r>
        <w:rPr>
          <w:color w:val="231F20"/>
          <w:spacing w:val="10"/>
        </w:rPr>
        <w:t> </w:t>
      </w:r>
      <w:r>
        <w:rPr>
          <w:color w:val="231F20"/>
        </w:rPr>
        <w:t>Elektromobilflotte</w:t>
      </w:r>
      <w:r>
        <w:rPr>
          <w:color w:val="231F20"/>
          <w:spacing w:val="10"/>
        </w:rPr>
        <w:t> </w:t>
      </w:r>
      <w:r>
        <w:rPr>
          <w:color w:val="231F20"/>
        </w:rPr>
        <w:t>von</w:t>
      </w:r>
      <w:r>
        <w:rPr>
          <w:color w:val="231F20"/>
          <w:spacing w:val="11"/>
        </w:rPr>
        <w:t> </w:t>
      </w:r>
      <w:r>
        <w:rPr>
          <w:color w:val="231F20"/>
        </w:rPr>
        <w:t>50</w:t>
      </w:r>
      <w:r>
        <w:rPr>
          <w:color w:val="231F20"/>
          <w:spacing w:val="10"/>
        </w:rPr>
        <w:t> </w:t>
      </w:r>
      <w:r>
        <w:rPr>
          <w:color w:val="231F20"/>
        </w:rPr>
        <w:t>CO</w:t>
      </w:r>
      <w:r>
        <w:rPr>
          <w:color w:val="231F20"/>
          <w:position w:val="-5"/>
          <w:sz w:val="10"/>
        </w:rPr>
        <w:t>2</w:t>
      </w:r>
      <w:r>
        <w:rPr>
          <w:color w:val="231F20"/>
        </w:rPr>
        <w:t>-frei</w:t>
      </w:r>
      <w:r>
        <w:rPr>
          <w:color w:val="231F20"/>
          <w:spacing w:val="11"/>
        </w:rPr>
        <w:t> </w:t>
      </w:r>
      <w:r>
        <w:rPr>
          <w:color w:val="231F20"/>
        </w:rPr>
        <w:t>fah-</w:t>
      </w:r>
      <w:r>
        <w:rPr>
          <w:color w:val="231F20"/>
        </w:rPr>
        <w:t> renden</w:t>
      </w:r>
      <w:r>
        <w:rPr>
          <w:color w:val="231F20"/>
          <w:spacing w:val="39"/>
        </w:rPr>
        <w:t> </w:t>
      </w:r>
      <w:r>
        <w:rPr>
          <w:color w:val="231F20"/>
        </w:rPr>
        <w:t>Autos.</w:t>
      </w:r>
      <w:r>
        <w:rPr>
          <w:color w:val="231F20"/>
          <w:spacing w:val="40"/>
        </w:rPr>
        <w:t> </w:t>
      </w:r>
      <w:r>
        <w:rPr>
          <w:color w:val="231F20"/>
        </w:rPr>
        <w:t>Diese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CKW-Energie-Strate-</w:t>
      </w:r>
      <w:r>
        <w:rPr/>
      </w:r>
    </w:p>
    <w:p>
      <w:pPr>
        <w:pStyle w:val="BodyText"/>
        <w:spacing w:line="232" w:lineRule="auto" w:before="1"/>
        <w:ind w:right="0"/>
        <w:jc w:val="both"/>
      </w:pPr>
      <w:r>
        <w:rPr>
          <w:color w:val="231F20"/>
        </w:rPr>
        <w:t>gie</w:t>
      </w:r>
      <w:r>
        <w:rPr>
          <w:color w:val="231F20"/>
          <w:spacing w:val="48"/>
        </w:rPr>
        <w:t> </w:t>
      </w:r>
      <w:r>
        <w:rPr>
          <w:color w:val="231F20"/>
        </w:rPr>
        <w:t>erweist  sich als die wegweisende</w:t>
      </w:r>
      <w:r>
        <w:rPr>
          <w:color w:val="231F20"/>
        </w:rPr>
        <w:t> Energiestrategie</w:t>
      </w:r>
      <w:r>
        <w:rPr>
          <w:color w:val="231F20"/>
          <w:spacing w:val="31"/>
        </w:rPr>
        <w:t> </w:t>
      </w:r>
      <w:r>
        <w:rPr>
          <w:color w:val="231F20"/>
        </w:rPr>
        <w:t>für</w:t>
      </w:r>
      <w:r>
        <w:rPr>
          <w:color w:val="231F20"/>
          <w:spacing w:val="32"/>
        </w:rPr>
        <w:t> </w:t>
      </w:r>
      <w:r>
        <w:rPr>
          <w:color w:val="231F20"/>
        </w:rPr>
        <w:t>eine</w:t>
      </w:r>
      <w:r>
        <w:rPr>
          <w:color w:val="231F20"/>
          <w:spacing w:val="31"/>
        </w:rPr>
        <w:t> </w:t>
      </w:r>
      <w:r>
        <w:rPr>
          <w:color w:val="231F20"/>
        </w:rPr>
        <w:t>optimale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Umset-</w:t>
      </w:r>
      <w:r>
        <w:rPr>
          <w:color w:val="231F20"/>
          <w:spacing w:val="25"/>
        </w:rPr>
        <w:t> </w:t>
      </w:r>
      <w:r>
        <w:rPr>
          <w:color w:val="231F20"/>
        </w:rPr>
        <w:t>zung</w:t>
      </w:r>
      <w:r>
        <w:rPr>
          <w:color w:val="231F20"/>
          <w:spacing w:val="25"/>
        </w:rPr>
        <w:t> </w:t>
      </w:r>
      <w:r>
        <w:rPr>
          <w:color w:val="231F20"/>
        </w:rPr>
        <w:t>des</w:t>
      </w:r>
      <w:r>
        <w:rPr>
          <w:color w:val="231F20"/>
          <w:spacing w:val="26"/>
        </w:rPr>
        <w:t> </w:t>
      </w:r>
      <w:r>
        <w:rPr>
          <w:color w:val="231F20"/>
        </w:rPr>
        <w:t>neuen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Energiegesetzes</w:t>
      </w:r>
      <w:r>
        <w:rPr>
          <w:color w:val="231F20"/>
          <w:spacing w:val="26"/>
        </w:rPr>
        <w:t> </w:t>
      </w:r>
      <w:r>
        <w:rPr>
          <w:color w:val="231F20"/>
        </w:rPr>
        <w:t>und</w:t>
      </w:r>
      <w:r>
        <w:rPr>
          <w:color w:val="231F20"/>
          <w:spacing w:val="26"/>
        </w:rPr>
        <w:t> </w:t>
      </w:r>
      <w:r>
        <w:rPr>
          <w:color w:val="231F20"/>
        </w:rPr>
        <w:t>des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Pariser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Klimaabkommens</w:t>
      </w:r>
      <w:r>
        <w:rPr>
          <w:color w:val="231F20"/>
          <w:spacing w:val="42"/>
        </w:rPr>
        <w:t> </w:t>
      </w:r>
      <w:r>
        <w:rPr>
          <w:color w:val="231F20"/>
        </w:rPr>
        <w:t>für</w:t>
      </w:r>
      <w:r>
        <w:rPr>
          <w:color w:val="231F20"/>
          <w:spacing w:val="41"/>
        </w:rPr>
        <w:t> </w:t>
      </w:r>
      <w:r>
        <w:rPr>
          <w:color w:val="231F20"/>
        </w:rPr>
        <w:t>die</w:t>
      </w:r>
      <w:r>
        <w:rPr>
          <w:color w:val="231F20"/>
          <w:spacing w:val="42"/>
        </w:rPr>
        <w:t> </w:t>
      </w:r>
      <w:r>
        <w:rPr>
          <w:color w:val="231F20"/>
        </w:rPr>
        <w:t>Schweiz</w:t>
      </w:r>
      <w:r>
        <w:rPr>
          <w:color w:val="231F20"/>
          <w:spacing w:val="27"/>
        </w:rPr>
        <w:t> </w:t>
      </w:r>
      <w:r>
        <w:rPr>
          <w:color w:val="231F20"/>
        </w:rPr>
        <w:t>und </w:t>
      </w:r>
      <w:r>
        <w:rPr>
          <w:color w:val="231F20"/>
          <w:spacing w:val="-1"/>
        </w:rPr>
        <w:t>darüber</w:t>
      </w:r>
      <w:r>
        <w:rPr>
          <w:color w:val="231F20"/>
        </w:rPr>
        <w:t> hinaus.</w:t>
      </w:r>
      <w:r>
        <w:rPr/>
      </w:r>
    </w:p>
    <w:p>
      <w:pPr>
        <w:spacing w:line="232" w:lineRule="auto" w:before="11"/>
        <w:ind w:left="106" w:right="0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206’700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kWh/a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(66%),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qui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per-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mettrait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148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véhicules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électriques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par-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courir 12’000 km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sans émettre 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CO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position w:val="-5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197" w:lineRule="exact" w:before="0"/>
        <w:ind w:left="106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/>
          <w:i/>
          <w:color w:val="231F20"/>
          <w:sz w:val="18"/>
        </w:rPr>
        <w:t>Le courant PV non utilisé sert à alimenter</w:t>
      </w:r>
      <w:r>
        <w:rPr>
          <w:rFonts w:ascii="Theinhardt Regular Italic" w:hAnsi="Theinhardt Regular Italic"/>
          <w:sz w:val="18"/>
        </w:rPr>
      </w:r>
    </w:p>
    <w:p>
      <w:pPr>
        <w:spacing w:line="232" w:lineRule="auto" w:before="1"/>
        <w:ind w:left="106" w:right="0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trois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climatiseurs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d’une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capacité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maxima-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2’000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position w:val="6"/>
          <w:sz w:val="10"/>
          <w:szCs w:val="10"/>
        </w:rPr>
        <w:t>3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/h.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L’extraction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mécanique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fumée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chaleur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locaux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véhi-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cules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peut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amener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jusqu’à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65’000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position w:val="6"/>
          <w:sz w:val="10"/>
          <w:szCs w:val="10"/>
        </w:rPr>
        <w:t>3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/h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d’air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 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évacuer 70’000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position w:val="6"/>
          <w:sz w:val="10"/>
          <w:szCs w:val="10"/>
        </w:rPr>
        <w:t>3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/h.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2" w:lineRule="auto" w:before="0"/>
        <w:ind w:left="106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Avec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élégant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BEP,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groupe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CKW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as-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sure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approvisionnement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énergétique-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efficace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durable,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convaincant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point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vue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écologique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économique.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CKW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distingue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aussi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matière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trans-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port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avec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flotte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50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véhicules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élec-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triques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alimentés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par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l’énergie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solaire.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stratégie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énergétique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CKW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s’impose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jusqu’ici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comme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démarche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pionnière,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transition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optimale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conforme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nouvelle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loi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l’énergie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l’Accord de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Paris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sur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climat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en Suisse et au-delà.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140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/>
        <w:br w:type="column"/>
      </w:r>
      <w:r>
        <w:rPr>
          <w:rFonts w:ascii="Theinhardt Bold" w:hAnsi="Theinhardt Bold"/>
          <w:b/>
          <w:color w:val="231F20"/>
          <w:spacing w:val="1"/>
          <w:sz w:val="14"/>
        </w:rPr>
        <w:t>Bauherrschaft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und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2"/>
          <w:sz w:val="14"/>
        </w:rPr>
        <w:t>Standort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des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Gebäudes</w:t>
      </w:r>
      <w:r>
        <w:rPr>
          <w:rFonts w:ascii="Theinhardt Bold" w:hAnsi="Theinhardt Bold"/>
          <w:sz w:val="14"/>
        </w:rPr>
      </w:r>
    </w:p>
    <w:p>
      <w:pPr>
        <w:spacing w:line="207" w:lineRule="auto" w:before="6"/>
        <w:ind w:left="106" w:right="1229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Galliker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Transport</w:t>
      </w:r>
      <w:r>
        <w:rPr>
          <w:rFonts w:ascii="Theinhardt Regular"/>
          <w:color w:val="231F20"/>
          <w:sz w:val="14"/>
        </w:rPr>
        <w:t> AG</w:t>
      </w:r>
      <w:r>
        <w:rPr>
          <w:rFonts w:ascii="Theinhardt Regular"/>
          <w:color w:val="231F20"/>
          <w:spacing w:val="27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Kantonsstrasse</w:t>
      </w:r>
      <w:r>
        <w:rPr>
          <w:rFonts w:ascii="Theinhardt Regular"/>
          <w:color w:val="231F20"/>
          <w:sz w:val="14"/>
        </w:rPr>
        <w:t> 2, </w:t>
      </w:r>
      <w:r>
        <w:rPr>
          <w:rFonts w:ascii="Theinhardt Regular"/>
          <w:color w:val="231F20"/>
          <w:spacing w:val="-1"/>
          <w:sz w:val="14"/>
        </w:rPr>
        <w:t>6246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Altishofen</w:t>
      </w:r>
      <w:r>
        <w:rPr>
          <w:rFonts w:asci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062 </w:t>
      </w:r>
      <w:r>
        <w:rPr>
          <w:rFonts w:ascii="Theinhardt Regular"/>
          <w:color w:val="231F20"/>
          <w:spacing w:val="-3"/>
          <w:sz w:val="14"/>
        </w:rPr>
        <w:t>748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80</w:t>
      </w:r>
      <w:r>
        <w:rPr>
          <w:rFonts w:ascii="Theinhardt Regular"/>
          <w:color w:val="231F20"/>
          <w:sz w:val="14"/>
        </w:rPr>
        <w:t> 80</w:t>
      </w:r>
      <w:hyperlink r:id="rId6">
        <w:r>
          <w:rPr>
            <w:rFonts w:ascii="Theinhardt Regular"/>
            <w:color w:val="231F20"/>
            <w:sz w:val="14"/>
          </w:rPr>
          <w:t>, </w:t>
        </w:r>
        <w:r>
          <w:rPr>
            <w:rFonts w:ascii="Theinhardt Regular"/>
            <w:color w:val="231F20"/>
            <w:spacing w:val="1"/>
            <w:sz w:val="14"/>
          </w:rPr>
          <w:t>www.galliker.com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GU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2"/>
          <w:sz w:val="14"/>
        </w:rPr>
        <w:t>PV-Anlage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CKW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Conex</w:t>
      </w:r>
      <w:r>
        <w:rPr>
          <w:rFonts w:ascii="Theinhardt Regular"/>
          <w:color w:val="231F20"/>
          <w:sz w:val="14"/>
        </w:rPr>
        <w:t> AG</w:t>
      </w:r>
      <w:r>
        <w:rPr>
          <w:rFonts w:ascii="Theinhardt Regular"/>
          <w:sz w:val="14"/>
        </w:rPr>
      </w:r>
    </w:p>
    <w:p>
      <w:pPr>
        <w:spacing w:line="207" w:lineRule="auto" w:before="6"/>
        <w:ind w:left="106" w:right="1229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Solartechnik,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A.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Scherer/R.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Studer</w:t>
      </w:r>
      <w:r>
        <w:rPr>
          <w:rFonts w:ascii="Theinhardt Regular"/>
          <w:color w:val="231F20"/>
          <w:spacing w:val="28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Hirschengraben</w:t>
      </w:r>
      <w:r>
        <w:rPr>
          <w:rFonts w:ascii="Theinhardt Regular"/>
          <w:color w:val="231F20"/>
          <w:sz w:val="14"/>
        </w:rPr>
        <w:t> 33, </w:t>
      </w:r>
      <w:r>
        <w:rPr>
          <w:rFonts w:ascii="Theinhardt Regular"/>
          <w:color w:val="231F20"/>
          <w:spacing w:val="1"/>
          <w:sz w:val="14"/>
        </w:rPr>
        <w:t>6002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Luzern</w:t>
      </w:r>
      <w:r>
        <w:rPr>
          <w:rFonts w:asci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041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249</w:t>
      </w:r>
      <w:r>
        <w:rPr>
          <w:rFonts w:ascii="Theinhardt Regular"/>
          <w:color w:val="231F20"/>
          <w:sz w:val="14"/>
        </w:rPr>
        <w:t> 53 </w:t>
      </w:r>
      <w:r>
        <w:rPr>
          <w:rFonts w:ascii="Theinhardt Regular"/>
          <w:color w:val="231F20"/>
          <w:spacing w:val="-1"/>
          <w:sz w:val="14"/>
        </w:rPr>
        <w:t>69</w:t>
      </w:r>
      <w:hyperlink r:id="rId7">
        <w:r>
          <w:rPr>
            <w:rFonts w:ascii="Theinhardt Regular"/>
            <w:color w:val="231F20"/>
            <w:spacing w:val="-1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2"/>
            <w:sz w:val="14"/>
          </w:rPr>
          <w:t>adrian.scherer@ckwconex.ch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Elektroplaner</w:t>
      </w:r>
      <w:r>
        <w:rPr>
          <w:rFonts w:ascii="Theinhardt Bold"/>
          <w:sz w:val="14"/>
        </w:rPr>
      </w:r>
    </w:p>
    <w:p>
      <w:pPr>
        <w:spacing w:line="207" w:lineRule="auto" w:before="6"/>
        <w:ind w:left="106" w:right="1229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2"/>
          <w:sz w:val="14"/>
        </w:rPr>
        <w:t>Thomas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Lüem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Partner</w:t>
      </w:r>
      <w:r>
        <w:rPr>
          <w:rFonts w:ascii="Theinhardt Regular" w:hAnsi="Theinhardt Regular"/>
          <w:color w:val="231F20"/>
          <w:sz w:val="14"/>
        </w:rPr>
        <w:t> AG</w:t>
      </w:r>
      <w:r>
        <w:rPr>
          <w:rFonts w:ascii="Theinhardt Regular" w:hAnsi="Theinhardt Regular"/>
          <w:color w:val="231F20"/>
          <w:spacing w:val="26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Blegistrasse</w:t>
      </w:r>
      <w:r>
        <w:rPr>
          <w:rFonts w:ascii="Theinhardt Regular" w:hAnsi="Theinhardt Regular"/>
          <w:color w:val="231F20"/>
          <w:sz w:val="14"/>
        </w:rPr>
        <w:t> 3, </w:t>
      </w:r>
      <w:r>
        <w:rPr>
          <w:rFonts w:ascii="Theinhardt Regular" w:hAnsi="Theinhardt Regular"/>
          <w:color w:val="231F20"/>
          <w:spacing w:val="1"/>
          <w:sz w:val="14"/>
        </w:rPr>
        <w:t>6340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Baar</w:t>
      </w:r>
      <w:r>
        <w:rPr>
          <w:rFonts w:ascii="Theinhardt Regular" w:hAns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041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763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32</w:t>
      </w:r>
      <w:r>
        <w:rPr>
          <w:rFonts w:ascii="Theinhardt Regular"/>
          <w:color w:val="231F20"/>
          <w:sz w:val="14"/>
        </w:rPr>
        <w:t> 80</w:t>
      </w:r>
      <w:hyperlink r:id="rId8">
        <w:r>
          <w:rPr>
            <w:rFonts w:ascii="Theinhardt Regular"/>
            <w:color w:val="231F20"/>
            <w:sz w:val="14"/>
          </w:rPr>
          <w:t>, </w:t>
        </w:r>
        <w:r>
          <w:rPr>
            <w:rFonts w:ascii="Theinhardt Regular"/>
            <w:color w:val="231F20"/>
            <w:spacing w:val="1"/>
            <w:sz w:val="14"/>
          </w:rPr>
          <w:t>mail@tlp.ch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Architekt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Fent</w:t>
      </w:r>
      <w:r>
        <w:rPr>
          <w:rFonts w:ascii="Theinhardt Regular"/>
          <w:color w:val="231F20"/>
          <w:sz w:val="14"/>
        </w:rPr>
        <w:t> AG</w:t>
      </w:r>
      <w:r>
        <w:rPr>
          <w:rFonts w:ascii="Theinhardt Regular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2"/>
          <w:sz w:val="14"/>
        </w:rPr>
        <w:t>Jägersteg</w:t>
      </w:r>
      <w:r>
        <w:rPr>
          <w:rFonts w:ascii="Theinhardt Regular" w:hAnsi="Theinhardt Regular"/>
          <w:color w:val="231F20"/>
          <w:sz w:val="14"/>
        </w:rPr>
        <w:t> 2, </w:t>
      </w:r>
      <w:r>
        <w:rPr>
          <w:rFonts w:ascii="Theinhardt Regular" w:hAnsi="Theinhardt Regular"/>
          <w:color w:val="231F20"/>
          <w:spacing w:val="-1"/>
          <w:sz w:val="14"/>
        </w:rPr>
        <w:t>5703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Seon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pict>
          <v:group style="position:absolute;margin-left:385.511902pt;margin-top:10.401802pt;width:167.25pt;height:.45pt;mso-position-horizontal-relative:page;mso-position-vertical-relative:paragraph;z-index:1192" coordorigin="7710,208" coordsize="3345,9">
            <v:group style="position:absolute;left:7732;top:212;width:3311;height:2" coordorigin="7732,212" coordsize="3311,2">
              <v:shape style="position:absolute;left:7732;top:212;width:3311;height:2" coordorigin="7732,212" coordsize="3311,0" path="m7732,212l11042,212e" filled="false" stroked="true" strokeweight=".425pt" strokecolor="#231f20">
                <v:path arrowok="t"/>
                <v:stroke dashstyle="dash"/>
              </v:shape>
            </v:group>
            <v:group style="position:absolute;left:7714;top:212;width:2;height:2" coordorigin="7714,212" coordsize="2,2">
              <v:shape style="position:absolute;left:7714;top:212;width:2;height:2" coordorigin="7714,212" coordsize="0,0" path="m7714,212l7714,212e" filled="false" stroked="true" strokeweight=".425pt" strokecolor="#231f20">
                <v:path arrowok="t"/>
              </v:shape>
            </v:group>
            <v:group style="position:absolute;left:11051;top:212;width:2;height:2" coordorigin="11051,212" coordsize="2,2">
              <v:shape style="position:absolute;left:11051;top:212;width:2;height:2" coordorigin="11051,212" coordsize="0,0" path="m11051,212l11051,212e" filled="false" stroked="true" strokeweight=".425pt" strokecolor="#231f20">
                <v:path arrowok="t"/>
              </v:shape>
            </v:group>
            <w10:wrap type="none"/>
          </v:group>
        </w:pic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062 </w:t>
      </w:r>
      <w:r>
        <w:rPr>
          <w:rFonts w:ascii="Theinhardt Regular"/>
          <w:color w:val="231F20"/>
          <w:spacing w:val="-1"/>
          <w:sz w:val="14"/>
        </w:rPr>
        <w:t>769</w:t>
      </w:r>
      <w:r>
        <w:rPr>
          <w:rFonts w:ascii="Theinhardt Regular"/>
          <w:color w:val="231F20"/>
          <w:sz w:val="14"/>
        </w:rPr>
        <w:t> 66 6</w:t>
      </w:r>
      <w:hyperlink r:id="rId9">
        <w:r>
          <w:rPr>
            <w:rFonts w:ascii="Theinhardt Regular"/>
            <w:color w:val="231F20"/>
            <w:sz w:val="14"/>
          </w:rPr>
          <w:t>6, </w:t>
        </w:r>
        <w:r>
          <w:rPr>
            <w:rFonts w:ascii="Theinhardt Regular"/>
            <w:color w:val="231F20"/>
            <w:spacing w:val="1"/>
            <w:sz w:val="14"/>
          </w:rPr>
          <w:t>ingenieur@fent.ch</w:t>
        </w:r>
        <w:r>
          <w:rPr>
            <w:rFonts w:ascii="Theinhardt Regular"/>
            <w:sz w:val="14"/>
          </w:rPr>
        </w:r>
      </w:hyperlink>
    </w:p>
    <w:p>
      <w:pPr>
        <w:spacing w:after="0" w:line="172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53" w:space="119"/>
            <w:col w:w="3453" w:space="119"/>
            <w:col w:w="3566"/>
          </w:cols>
        </w:sect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4"/>
        <w:rPr>
          <w:rFonts w:ascii="Theinhardt Regular" w:hAnsi="Theinhardt Regular" w:cs="Theinhardt Regular" w:eastAsia="Theinhardt Regular"/>
          <w:sz w:val="15"/>
          <w:szCs w:val="15"/>
        </w:rPr>
      </w:pPr>
    </w:p>
    <w:p>
      <w:pPr>
        <w:spacing w:before="7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38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2017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2017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</w:sectPr>
      </w:pPr>
    </w:p>
    <w:p>
      <w:pPr>
        <w:spacing w:line="240" w:lineRule="auto" w:before="6"/>
        <w:rPr>
          <w:rFonts w:ascii="Theinhardt Regular" w:hAnsi="Theinhardt Regular" w:cs="Theinhardt Regular" w:eastAsia="Theinhardt Regular"/>
          <w:sz w:val="5"/>
          <w:szCs w:val="5"/>
        </w:rPr>
      </w:pPr>
    </w:p>
    <w:p>
      <w:pPr>
        <w:spacing w:line="200" w:lineRule="atLeast"/>
        <w:ind w:left="110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662814" cy="4770120"/>
            <wp:effectExtent l="0" t="0" r="0" b="0"/>
            <wp:docPr id="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2814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before="13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"/>
          <w:szCs w:val="2"/>
        </w:rPr>
      </w:pPr>
    </w:p>
    <w:p>
      <w:pPr>
        <w:tabs>
          <w:tab w:pos="3682" w:val="left" w:leader="none"/>
        </w:tabs>
        <w:spacing w:line="200" w:lineRule="atLeast"/>
        <w:ind w:left="110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/>
          <w:position w:val="5"/>
          <w:sz w:val="20"/>
        </w:rPr>
        <w:drawing>
          <wp:inline distT="0" distB="0" distL="0" distR="0">
            <wp:extent cx="2103493" cy="3020377"/>
            <wp:effectExtent l="0" t="0" r="0" b="0"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493" cy="302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position w:val="5"/>
          <w:sz w:val="20"/>
        </w:rPr>
      </w:r>
      <w:r>
        <w:rPr>
          <w:rFonts w:ascii="Theinhardt Bold"/>
          <w:position w:val="5"/>
          <w:sz w:val="20"/>
        </w:rPr>
        <w:tab/>
      </w:r>
      <w:r>
        <w:rPr>
          <w:rFonts w:ascii="Theinhardt Bold"/>
          <w:sz w:val="20"/>
        </w:rPr>
        <w:drawing>
          <wp:inline distT="0" distB="0" distL="0" distR="0">
            <wp:extent cx="4393482" cy="3054096"/>
            <wp:effectExtent l="0" t="0" r="0" b="0"/>
            <wp:docPr id="5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482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</w:p>
    <w:p>
      <w:pPr>
        <w:tabs>
          <w:tab w:pos="3681" w:val="left" w:leader="none"/>
        </w:tabs>
        <w:spacing w:before="14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  <w:tab/>
        <w:t>3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1"/>
        <w:rPr>
          <w:rFonts w:ascii="Theinhardt Bold" w:hAnsi="Theinhardt Bold" w:cs="Theinhardt Bold" w:eastAsia="Theinhardt Bold"/>
          <w:b/>
          <w:bCs/>
          <w:sz w:val="26"/>
          <w:szCs w:val="26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26"/>
          <w:szCs w:val="26"/>
        </w:rPr>
        <w:sectPr>
          <w:pgSz w:w="11910" w:h="16840"/>
          <w:pgMar w:top="860" w:bottom="280" w:left="740" w:right="460"/>
        </w:sectPr>
      </w:pPr>
    </w:p>
    <w:p>
      <w:pPr>
        <w:numPr>
          <w:ilvl w:val="0"/>
          <w:numId w:val="1"/>
        </w:numPr>
        <w:tabs>
          <w:tab w:pos="338" w:val="left" w:leader="none"/>
        </w:tabs>
        <w:spacing w:line="172" w:lineRule="exact" w:before="68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Die </w:t>
      </w:r>
      <w:r>
        <w:rPr>
          <w:rFonts w:ascii="Theinhardt Bold"/>
          <w:b/>
          <w:color w:val="231F20"/>
          <w:spacing w:val="-1"/>
          <w:sz w:val="14"/>
        </w:rPr>
        <w:t>vorbildlich</w:t>
      </w:r>
      <w:r>
        <w:rPr>
          <w:rFonts w:ascii="Theinhardt Bold"/>
          <w:b/>
          <w:color w:val="231F20"/>
          <w:sz w:val="14"/>
        </w:rPr>
        <w:t> integrierte 606 kW </w:t>
      </w:r>
      <w:r>
        <w:rPr>
          <w:rFonts w:ascii="Theinhardt Bold"/>
          <w:b/>
          <w:color w:val="231F20"/>
          <w:spacing w:val="-1"/>
          <w:sz w:val="14"/>
        </w:rPr>
        <w:t>starke</w:t>
      </w:r>
      <w:r>
        <w:rPr>
          <w:rFonts w:ascii="Theinhardt Bold"/>
          <w:sz w:val="14"/>
        </w:rPr>
      </w:r>
    </w:p>
    <w:p>
      <w:pPr>
        <w:spacing w:line="207" w:lineRule="auto" w:before="5"/>
        <w:ind w:left="337" w:right="9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PV-Anlage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Galliker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Transport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AG,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hier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aus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Vogelperspektive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mit Blick auf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Stirnseite</w:t>
      </w:r>
      <w:r>
        <w:rPr>
          <w:rFonts w:ascii="Theinhardt Bold" w:hAnsi="Theinhardt Bold" w:cs="Theinhardt Bold" w:eastAsia="Theinhardt Bold"/>
          <w:b/>
          <w:bCs/>
          <w:color w:val="231F20"/>
          <w:spacing w:val="42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Nord,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erzeugt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jährlich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520’800 kWh.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0" w:hanging="227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150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m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lange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26.8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m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breite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PlusEner-</w:t>
      </w:r>
      <w:r>
        <w:rPr>
          <w:rFonts w:ascii="Theinhardt Bold" w:hAnsi="Theinhardt Bold" w:cs="Theinhardt Bold" w:eastAsia="Theinhardt Bold"/>
          <w:b/>
          <w:bCs/>
          <w:color w:val="231F20"/>
          <w:spacing w:val="32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gieBau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Galliker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deckt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den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Gesamtenergiebe-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darf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314’100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kWh/a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zu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166%.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Solar-</w:t>
      </w:r>
      <w:r>
        <w:rPr>
          <w:rFonts w:ascii="Theinhardt Bold" w:hAnsi="Theinhardt Bold" w:cs="Theinhardt Bold" w:eastAsia="Theinhardt Bold"/>
          <w:b/>
          <w:bCs/>
          <w:color w:val="231F20"/>
          <w:spacing w:val="2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stromüberschuss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beträgt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206’700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kWh/a.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207" w:lineRule="auto" w:before="86"/>
        <w:ind w:left="337" w:right="141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br w:type="column"/>
        <w:t>Ansicht auf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Stirnseite,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Nord-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und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Westfassa-</w:t>
      </w:r>
      <w:r>
        <w:rPr>
          <w:rFonts w:ascii="Theinhardt Bold" w:hAnsi="Theinhardt Bold" w:cs="Theinhardt Bold" w:eastAsia="Theinhardt Bold"/>
          <w:b/>
          <w:bCs/>
          <w:color w:val="231F20"/>
          <w:spacing w:val="32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des eleganten PEBs.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Mit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dem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Solarstrom-</w:t>
      </w:r>
      <w:r>
        <w:rPr>
          <w:rFonts w:ascii="Theinhardt Bold" w:hAnsi="Theinhardt Bold" w:cs="Theinhardt Bold" w:eastAsia="Theinhardt Bold"/>
          <w:b/>
          <w:bCs/>
          <w:color w:val="231F20"/>
          <w:spacing w:val="34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überschuss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können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148 Elektroautos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jährlich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je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12’000 km CO</w:t>
      </w:r>
      <w:r>
        <w:rPr>
          <w:rFonts w:ascii="Theinhardt Bold" w:hAnsi="Theinhardt Bold" w:cs="Theinhardt Bold" w:eastAsia="Theinhardt Bold"/>
          <w:b/>
          <w:bCs/>
          <w:color w:val="231F20"/>
          <w:position w:val="-4"/>
          <w:sz w:val="8"/>
          <w:szCs w:val="8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-frei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fahren.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after="0" w:line="207" w:lineRule="auto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740" w:right="460"/>
          <w:cols w:num="3" w:equalWidth="0">
            <w:col w:w="3430" w:space="142"/>
            <w:col w:w="3290" w:space="281"/>
            <w:col w:w="3567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before="70"/>
        <w:ind w:left="666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2017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2017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39</w:t>
      </w:r>
      <w:r>
        <w:rPr>
          <w:rFonts w:ascii="Theinhardt Heavy"/>
          <w:sz w:val="14"/>
        </w:rPr>
      </w:r>
    </w:p>
    <w:sectPr>
      <w:type w:val="continuous"/>
      <w:pgSz w:w="11910" w:h="16840"/>
      <w:pgMar w:top="840" w:bottom="280" w:left="7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37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46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55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64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74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83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92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01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10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6"/>
    </w:pPr>
    <w:rPr>
      <w:rFonts w:ascii="Theinhardt Regular" w:hAnsi="Theinhardt Regular" w:eastAsia="Theinhardt Regular"/>
      <w:sz w:val="18"/>
      <w:szCs w:val="18"/>
    </w:rPr>
  </w:style>
  <w:style w:styleId="Heading1" w:type="paragraph">
    <w:name w:val="Heading 1"/>
    <w:basedOn w:val="Normal"/>
    <w:uiPriority w:val="1"/>
    <w:qFormat/>
    <w:pPr>
      <w:spacing w:before="28"/>
      <w:ind w:left="106"/>
      <w:outlineLvl w:val="1"/>
    </w:pPr>
    <w:rPr>
      <w:rFonts w:ascii="Theinhardt Bold" w:hAnsi="Theinhardt Bold" w:eastAsia="Theinhardt Bold"/>
      <w:b/>
      <w:bCs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://www.galliker.com/" TargetMode="External"/><Relationship Id="rId7" Type="http://schemas.openxmlformats.org/officeDocument/2006/relationships/hyperlink" Target="mailto:adrian.scherer@ckwconex.ch" TargetMode="External"/><Relationship Id="rId8" Type="http://schemas.openxmlformats.org/officeDocument/2006/relationships/hyperlink" Target="mailto:mail@tlp.ch" TargetMode="External"/><Relationship Id="rId9" Type="http://schemas.openxmlformats.org/officeDocument/2006/relationships/hyperlink" Target="mailto:ingenieur@fent.ch" TargetMode="External"/><Relationship Id="rId10" Type="http://schemas.openxmlformats.org/officeDocument/2006/relationships/image" Target="media/image2.pn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2017-09-21T11:25:23Z</dcterms:created>
  <dcterms:modified xsi:type="dcterms:W3CDTF">2017-09-21T11:25:23Z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2017-09-20T00:00:00Z</vt:filetime>
  </property>
  <property fmtid="{D5CDD505-2E9C-101B-9397-08002B2CF9AE}" pid="3" name="LastSaved">
    <vt:filetime>2017-09-21T00:00:00Z</vt:filetime>
  </property>
</Properties>
</file>