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Heavy" w:hAnsi="Theinhardt Heavy" w:cs="Theinhardt Heavy" w:eastAsia="Theinhardt Heavy"/>
          <w:b w:val="0"/>
          <w:bCs w:val="0"/>
        </w:rPr>
      </w:pPr>
      <w:r>
        <w:rPr/>
        <w:pict>
          <v:group style="position:absolute;margin-left:28.559pt;margin-top:13.647203pt;width:.1pt;height:.1pt;mso-position-horizontal-relative:page;mso-position-vertical-relative:paragraph;z-index:-4576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203pt;width:.1pt;height:.1pt;mso-position-horizontal-relative:page;mso-position-vertical-relative:paragraph;z-index:1168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</w:rPr>
      </w:r>
      <w:r>
        <w:rPr>
          <w:rFonts w:ascii="Theinhardt Heavy" w:hAnsi="Theinhardt Heavy"/>
          <w:b/>
          <w:color w:val="231F20"/>
          <w:u w:val="dotted" w:color="231F20"/>
        </w:rPr>
        <w:t>Catégorie A</w:t>
      </w:r>
      <w:r>
        <w:rPr>
          <w:rFonts w:ascii="Theinhardt Heavy" w:hAnsi="Theinhardt Heavy"/>
          <w:b/>
          <w:color w:val="231F20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</w:rPr>
      </w:r>
      <w:r>
        <w:rPr>
          <w:rFonts w:ascii="Theinhardt Heavy" w:hAnsi="Theinhardt Heavy"/>
          <w:b/>
          <w:color w:val="231F20"/>
          <w:spacing w:val="26"/>
        </w:rPr>
        <w:t> </w:t>
      </w:r>
      <w:r>
        <w:rPr>
          <w:rFonts w:ascii="Theinhardt Heavy" w:hAnsi="Theinhardt Heavy"/>
          <w:b/>
          <w:color w:val="231F20"/>
        </w:rPr>
        <w:t>Institutions</w:t>
      </w:r>
      <w:r>
        <w:rPr>
          <w:rFonts w:ascii="Theinhardt Heavy" w:hAnsi="Theinhardt Heavy"/>
          <w:b w:val="0"/>
        </w:rPr>
      </w:r>
    </w:p>
    <w:p>
      <w:pPr>
        <w:spacing w:line="20" w:lineRule="atLeast"/>
        <w:ind w:left="106" w:right="0" w:firstLine="0"/>
        <w:rPr>
          <w:rFonts w:ascii="Theinhardt Heavy" w:hAnsi="Theinhardt Heavy" w:cs="Theinhardt Heavy" w:eastAsia="Theinhardt Heavy"/>
          <w:sz w:val="2"/>
          <w:szCs w:val="2"/>
        </w:rPr>
      </w:pPr>
      <w:r>
        <w:rPr>
          <w:rFonts w:ascii="Theinhardt Heavy" w:hAnsi="Theinhardt Heavy" w:cs="Theinhardt Heavy" w:eastAsia="Theinhardt Heavy"/>
          <w:sz w:val="2"/>
          <w:szCs w:val="2"/>
        </w:rPr>
        <w:pict>
          <v:group style="width:122.6pt;height:.45pt;mso-position-horizontal-relative:char;mso-position-vertical-relative:line" coordorigin="0,0" coordsize="2452,9">
            <v:group style="position:absolute;left:21;top:4;width:2418;height:2" coordorigin="21,4" coordsize="2418,2">
              <v:shape style="position:absolute;left:21;top:4;width:2418;height:2" coordorigin="21,4" coordsize="2418,0" path="m21,4l2439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2448;top:4;width:2;height:2" coordorigin="2448,4" coordsize="2,2">
              <v:shape style="position:absolute;left:2448;top:4;width:2;height:2" coordorigin="2448,4" coordsize="0,0" path="m2448,4l2448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Heavy" w:hAnsi="Theinhardt Heavy" w:cs="Theinhardt Heavy" w:eastAsia="Theinhardt Heavy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Prix</w:t>
      </w:r>
      <w:r>
        <w:rPr>
          <w:color w:val="231F2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2017</w:t>
      </w:r>
      <w:r>
        <w:rPr/>
      </w:r>
    </w:p>
    <w:p>
      <w:pPr>
        <w:pStyle w:val="Heading1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Satigny</w:t>
      </w:r>
      <w:r>
        <w:rPr>
          <w:color w:val="231F20"/>
          <w:spacing w:val="13"/>
        </w:rPr>
        <w:t> </w:t>
      </w:r>
      <w:r>
        <w:rPr>
          <w:color w:val="231F20"/>
        </w:rPr>
        <w:t>(GE),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«Sablière»</w:t>
      </w:r>
      <w:r>
        <w:rPr>
          <w:color w:val="231F20"/>
          <w:spacing w:val="13"/>
        </w:rPr>
        <w:t> </w:t>
      </w:r>
      <w:r>
        <w:rPr>
          <w:color w:val="231F20"/>
        </w:rPr>
        <w:t>est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projet</w:t>
      </w:r>
      <w:r>
        <w:rPr>
          <w:color w:val="231F20"/>
          <w:spacing w:val="13"/>
        </w:rPr>
        <w:t> </w:t>
      </w:r>
      <w:r>
        <w:rPr>
          <w:color w:val="231F20"/>
        </w:rPr>
        <w:t>ambitieux</w:t>
      </w:r>
      <w:r>
        <w:rPr>
          <w:color w:val="231F20"/>
          <w:spacing w:val="13"/>
        </w:rPr>
        <w:t> </w:t>
      </w:r>
      <w:r>
        <w:rPr>
          <w:color w:val="231F20"/>
        </w:rPr>
        <w:t>et</w:t>
      </w:r>
      <w:r>
        <w:rPr>
          <w:color w:val="231F20"/>
          <w:spacing w:val="13"/>
        </w:rPr>
        <w:t> </w:t>
      </w:r>
      <w:r>
        <w:rPr>
          <w:color w:val="231F20"/>
        </w:rPr>
        <w:t>tourné</w:t>
      </w:r>
      <w:r>
        <w:rPr>
          <w:color w:val="231F20"/>
          <w:spacing w:val="13"/>
        </w:rPr>
        <w:t> </w:t>
      </w:r>
      <w:r>
        <w:rPr>
          <w:color w:val="231F20"/>
        </w:rPr>
        <w:t>vers</w:t>
      </w:r>
      <w:r>
        <w:rPr>
          <w:color w:val="231F20"/>
          <w:spacing w:val="13"/>
        </w:rPr>
        <w:t> </w:t>
      </w:r>
      <w:r>
        <w:rPr>
          <w:color w:val="231F20"/>
        </w:rPr>
        <w:t>l’avenir:</w:t>
      </w:r>
      <w:r>
        <w:rPr>
          <w:color w:val="231F20"/>
          <w:spacing w:val="13"/>
        </w:rPr>
        <w:t> </w:t>
      </w:r>
      <w:r>
        <w:rPr>
          <w:color w:val="231F20"/>
        </w:rPr>
        <w:t>une</w:t>
      </w:r>
      <w:r>
        <w:rPr>
          <w:color w:val="231F20"/>
          <w:spacing w:val="13"/>
        </w:rPr>
        <w:t> </w:t>
      </w:r>
      <w:r>
        <w:rPr>
          <w:color w:val="231F20"/>
        </w:rPr>
        <w:t>communauté</w:t>
      </w:r>
      <w:r>
        <w:rPr>
          <w:color w:val="231F20"/>
        </w:rPr>
        <w:t> de</w:t>
      </w:r>
      <w:r>
        <w:rPr>
          <w:color w:val="231F20"/>
          <w:spacing w:val="20"/>
        </w:rPr>
        <w:t> </w:t>
      </w:r>
      <w:r>
        <w:rPr>
          <w:color w:val="231F20"/>
        </w:rPr>
        <w:t>locataires</w:t>
      </w:r>
      <w:r>
        <w:rPr>
          <w:color w:val="231F20"/>
          <w:spacing w:val="20"/>
        </w:rPr>
        <w:t> </w:t>
      </w:r>
      <w:r>
        <w:rPr>
          <w:color w:val="231F20"/>
        </w:rPr>
        <w:t>adeptes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l’autoconsommation</w:t>
      </w:r>
      <w:r>
        <w:rPr>
          <w:color w:val="231F20"/>
          <w:spacing w:val="20"/>
        </w:rPr>
        <w:t> </w:t>
      </w:r>
      <w:r>
        <w:rPr>
          <w:color w:val="231F20"/>
        </w:rPr>
        <w:t>énergétique</w:t>
      </w:r>
      <w:r>
        <w:rPr>
          <w:color w:val="231F20"/>
          <w:spacing w:val="20"/>
        </w:rPr>
        <w:t> </w:t>
      </w:r>
      <w:r>
        <w:rPr>
          <w:color w:val="231F20"/>
        </w:rPr>
        <w:t>exploite</w:t>
      </w:r>
      <w:r>
        <w:rPr>
          <w:color w:val="231F20"/>
          <w:spacing w:val="20"/>
        </w:rPr>
        <w:t> </w:t>
      </w:r>
      <w:r>
        <w:rPr>
          <w:color w:val="231F20"/>
        </w:rPr>
        <w:t>le</w:t>
      </w:r>
      <w:r>
        <w:rPr>
          <w:color w:val="231F20"/>
          <w:spacing w:val="20"/>
        </w:rPr>
        <w:t> </w:t>
      </w:r>
      <w:r>
        <w:rPr>
          <w:color w:val="231F20"/>
        </w:rPr>
        <w:t>courant</w:t>
      </w:r>
      <w:r>
        <w:rPr>
          <w:color w:val="231F20"/>
          <w:spacing w:val="20"/>
        </w:rPr>
        <w:t> </w:t>
      </w:r>
      <w:r>
        <w:rPr>
          <w:color w:val="231F20"/>
        </w:rPr>
        <w:t>issu</w:t>
      </w:r>
      <w:r>
        <w:rPr>
          <w:color w:val="231F20"/>
          <w:spacing w:val="20"/>
        </w:rPr>
        <w:t> </w:t>
      </w:r>
      <w:r>
        <w:rPr>
          <w:color w:val="231F20"/>
        </w:rPr>
        <w:t>du</w:t>
      </w:r>
      <w:r>
        <w:rPr>
          <w:color w:val="231F20"/>
          <w:spacing w:val="20"/>
        </w:rPr>
        <w:t> </w:t>
      </w:r>
      <w:r>
        <w:rPr>
          <w:color w:val="231F20"/>
        </w:rPr>
        <w:t>toit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</w:rPr>
        <w:t> son</w:t>
      </w:r>
      <w:r>
        <w:rPr>
          <w:color w:val="231F20"/>
          <w:spacing w:val="1"/>
        </w:rPr>
        <w:t> </w:t>
      </w:r>
      <w:r>
        <w:rPr>
          <w:color w:val="231F20"/>
        </w:rPr>
        <w:t>propre</w:t>
      </w:r>
      <w:r>
        <w:rPr>
          <w:color w:val="231F20"/>
          <w:spacing w:val="1"/>
        </w:rPr>
        <w:t> </w:t>
      </w:r>
      <w:r>
        <w:rPr>
          <w:color w:val="231F20"/>
        </w:rPr>
        <w:t>bâtiment</w:t>
      </w:r>
      <w:r>
        <w:rPr>
          <w:color w:val="231F20"/>
          <w:spacing w:val="1"/>
        </w:rPr>
        <w:t> </w:t>
      </w:r>
      <w:r>
        <w:rPr>
          <w:color w:val="231F20"/>
        </w:rPr>
        <w:t>commercial.</w:t>
      </w:r>
      <w:r>
        <w:rPr>
          <w:color w:val="231F20"/>
          <w:spacing w:val="1"/>
        </w:rPr>
        <w:t> </w:t>
      </w:r>
      <w:r>
        <w:rPr>
          <w:color w:val="231F20"/>
        </w:rPr>
        <w:t>L’installation</w:t>
      </w:r>
      <w:r>
        <w:rPr>
          <w:color w:val="231F20"/>
          <w:spacing w:val="1"/>
        </w:rPr>
        <w:t> </w:t>
      </w:r>
      <w:r>
        <w:rPr>
          <w:color w:val="231F20"/>
        </w:rPr>
        <w:t>PV</w:t>
      </w:r>
      <w:r>
        <w:rPr>
          <w:color w:val="231F20"/>
          <w:spacing w:val="1"/>
        </w:rPr>
        <w:t> </w:t>
      </w:r>
      <w:r>
        <w:rPr>
          <w:color w:val="231F20"/>
        </w:rPr>
        <w:t>produit</w:t>
      </w:r>
      <w:r>
        <w:rPr>
          <w:color w:val="231F20"/>
          <w:spacing w:val="1"/>
        </w:rPr>
        <w:t> </w:t>
      </w:r>
      <w:r>
        <w:rPr>
          <w:color w:val="231F20"/>
        </w:rPr>
        <w:t>370’000</w:t>
      </w:r>
      <w:r>
        <w:rPr>
          <w:color w:val="231F20"/>
          <w:spacing w:val="1"/>
        </w:rPr>
        <w:t> </w:t>
      </w:r>
      <w:r>
        <w:rPr>
          <w:color w:val="231F20"/>
        </w:rPr>
        <w:t>kWh/a.</w:t>
      </w:r>
      <w:r>
        <w:rPr>
          <w:color w:val="231F20"/>
          <w:spacing w:val="1"/>
        </w:rPr>
        <w:t> </w:t>
      </w:r>
      <w:r>
        <w:rPr>
          <w:color w:val="231F20"/>
        </w:rPr>
        <w:t>Grâce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système</w:t>
      </w:r>
      <w:r>
        <w:rPr>
          <w:color w:val="231F20"/>
        </w:rPr>
        <w:t> d’optimisation,</w:t>
      </w:r>
      <w:r>
        <w:rPr>
          <w:color w:val="231F20"/>
          <w:spacing w:val="26"/>
        </w:rPr>
        <w:t> </w:t>
      </w:r>
      <w:r>
        <w:rPr>
          <w:color w:val="231F20"/>
        </w:rPr>
        <w:t>le</w:t>
      </w:r>
      <w:r>
        <w:rPr>
          <w:color w:val="231F20"/>
          <w:spacing w:val="26"/>
        </w:rPr>
        <w:t> </w:t>
      </w:r>
      <w:r>
        <w:rPr>
          <w:color w:val="231F20"/>
        </w:rPr>
        <w:t>taux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d’autoconsommation</w:t>
      </w:r>
      <w:r>
        <w:rPr>
          <w:color w:val="231F20"/>
          <w:spacing w:val="26"/>
        </w:rPr>
        <w:t> </w:t>
      </w:r>
      <w:r>
        <w:rPr>
          <w:color w:val="231F20"/>
        </w:rPr>
        <w:t>avoisine</w:t>
      </w:r>
      <w:r>
        <w:rPr>
          <w:color w:val="231F20"/>
          <w:spacing w:val="26"/>
        </w:rPr>
        <w:t> </w:t>
      </w:r>
      <w:r>
        <w:rPr>
          <w:color w:val="231F20"/>
        </w:rPr>
        <w:t>les</w:t>
      </w:r>
      <w:r>
        <w:rPr>
          <w:color w:val="231F20"/>
          <w:spacing w:val="26"/>
        </w:rPr>
        <w:t> </w:t>
      </w:r>
      <w:r>
        <w:rPr>
          <w:color w:val="231F20"/>
        </w:rPr>
        <w:t>45%.</w:t>
      </w:r>
      <w:r>
        <w:rPr>
          <w:color w:val="231F20"/>
          <w:spacing w:val="26"/>
        </w:rPr>
        <w:t> </w:t>
      </w:r>
      <w:r>
        <w:rPr>
          <w:color w:val="231F20"/>
        </w:rPr>
        <w:t>Le</w:t>
      </w:r>
      <w:r>
        <w:rPr>
          <w:color w:val="231F20"/>
          <w:spacing w:val="26"/>
        </w:rPr>
        <w:t> </w:t>
      </w:r>
      <w:r>
        <w:rPr>
          <w:color w:val="231F20"/>
        </w:rPr>
        <w:t>logiciel</w:t>
      </w:r>
      <w:r>
        <w:rPr>
          <w:color w:val="231F20"/>
          <w:spacing w:val="26"/>
        </w:rPr>
        <w:t> </w:t>
      </w:r>
      <w:r>
        <w:rPr>
          <w:color w:val="231F20"/>
        </w:rPr>
        <w:t>SMART</w:t>
      </w:r>
      <w:r>
        <w:rPr>
          <w:color w:val="231F20"/>
          <w:spacing w:val="26"/>
        </w:rPr>
        <w:t> </w:t>
      </w:r>
      <w:r>
        <w:rPr>
          <w:color w:val="231F20"/>
        </w:rPr>
        <w:t>permet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gérer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consommation</w:t>
      </w:r>
      <w:r>
        <w:rPr>
          <w:color w:val="231F20"/>
          <w:spacing w:val="2"/>
        </w:rPr>
        <w:t> </w:t>
      </w:r>
      <w:r>
        <w:rPr>
          <w:color w:val="231F20"/>
        </w:rPr>
        <w:t>et</w:t>
      </w:r>
      <w:r>
        <w:rPr>
          <w:color w:val="231F20"/>
          <w:spacing w:val="2"/>
        </w:rPr>
        <w:t> </w:t>
      </w:r>
      <w:r>
        <w:rPr>
          <w:color w:val="231F20"/>
        </w:rPr>
        <w:t>d’obtenir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décompte</w:t>
      </w:r>
      <w:r>
        <w:rPr>
          <w:color w:val="231F20"/>
          <w:spacing w:val="2"/>
        </w:rPr>
        <w:t> </w:t>
      </w:r>
      <w:r>
        <w:rPr>
          <w:color w:val="231F20"/>
        </w:rPr>
        <w:t>précis</w:t>
      </w:r>
      <w:r>
        <w:rPr>
          <w:color w:val="231F20"/>
          <w:spacing w:val="2"/>
        </w:rPr>
        <w:t> </w:t>
      </w:r>
      <w:r>
        <w:rPr>
          <w:color w:val="231F20"/>
        </w:rPr>
        <w:t>pour</w:t>
      </w:r>
      <w:r>
        <w:rPr>
          <w:color w:val="231F20"/>
          <w:spacing w:val="2"/>
        </w:rPr>
        <w:t> </w:t>
      </w:r>
      <w:r>
        <w:rPr>
          <w:color w:val="231F20"/>
        </w:rPr>
        <w:t>chaque</w:t>
      </w:r>
      <w:r>
        <w:rPr>
          <w:color w:val="231F20"/>
          <w:spacing w:val="2"/>
        </w:rPr>
        <w:t> </w:t>
      </w:r>
      <w:r>
        <w:rPr>
          <w:color w:val="231F20"/>
        </w:rPr>
        <w:t>locataire</w:t>
      </w:r>
      <w:r>
        <w:rPr>
          <w:color w:val="231F20"/>
          <w:spacing w:val="2"/>
        </w:rPr>
        <w:t> </w:t>
      </w:r>
      <w:r>
        <w:rPr>
          <w:color w:val="231F20"/>
        </w:rPr>
        <w:t>au</w:t>
      </w:r>
      <w:r>
        <w:rPr>
          <w:color w:val="231F20"/>
          <w:spacing w:val="2"/>
        </w:rPr>
        <w:t> </w:t>
      </w:r>
      <w:r>
        <w:rPr>
          <w:color w:val="231F20"/>
        </w:rPr>
        <w:t>travers</w:t>
      </w:r>
      <w:r>
        <w:rPr>
          <w:color w:val="231F20"/>
          <w:spacing w:val="2"/>
        </w:rPr>
        <w:t> </w:t>
      </w:r>
      <w:r>
        <w:rPr>
          <w:color w:val="231F20"/>
        </w:rPr>
        <w:t>d’une</w:t>
      </w:r>
      <w:r>
        <w:rPr>
          <w:color w:val="231F20"/>
        </w:rPr>
        <w:t> plateforme.</w:t>
      </w:r>
      <w:r>
        <w:rPr>
          <w:color w:val="231F20"/>
          <w:spacing w:val="11"/>
        </w:rPr>
        <w:t> </w:t>
      </w:r>
      <w:r>
        <w:rPr>
          <w:color w:val="231F20"/>
        </w:rPr>
        <w:t>Ce</w:t>
      </w:r>
      <w:r>
        <w:rPr>
          <w:color w:val="231F20"/>
          <w:spacing w:val="11"/>
        </w:rPr>
        <w:t> </w:t>
      </w:r>
      <w:r>
        <w:rPr>
          <w:color w:val="231F20"/>
        </w:rPr>
        <w:t>projet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pu</w:t>
      </w:r>
      <w:r>
        <w:rPr>
          <w:color w:val="231F20"/>
          <w:spacing w:val="11"/>
        </w:rPr>
        <w:t> </w:t>
      </w:r>
      <w:r>
        <w:rPr>
          <w:color w:val="231F20"/>
        </w:rPr>
        <w:t>voir</w:t>
      </w:r>
      <w:r>
        <w:rPr>
          <w:color w:val="231F20"/>
          <w:spacing w:val="11"/>
        </w:rPr>
        <w:t> </w:t>
      </w:r>
      <w:r>
        <w:rPr>
          <w:color w:val="231F20"/>
        </w:rPr>
        <w:t>le</w:t>
      </w:r>
      <w:r>
        <w:rPr>
          <w:color w:val="231F20"/>
          <w:spacing w:val="11"/>
        </w:rPr>
        <w:t> </w:t>
      </w:r>
      <w:r>
        <w:rPr>
          <w:color w:val="231F20"/>
        </w:rPr>
        <w:t>jour</w:t>
      </w:r>
      <w:r>
        <w:rPr>
          <w:color w:val="231F20"/>
          <w:spacing w:val="11"/>
        </w:rPr>
        <w:t> </w:t>
      </w:r>
      <w:r>
        <w:rPr>
          <w:color w:val="231F20"/>
        </w:rPr>
        <w:t>grâce</w:t>
      </w:r>
      <w:r>
        <w:rPr>
          <w:color w:val="231F20"/>
          <w:spacing w:val="11"/>
        </w:rPr>
        <w:t> </w:t>
      </w:r>
      <w:r>
        <w:rPr>
          <w:color w:val="231F20"/>
        </w:rPr>
        <w:t>à</w:t>
      </w:r>
      <w:r>
        <w:rPr>
          <w:color w:val="231F20"/>
          <w:spacing w:val="11"/>
        </w:rPr>
        <w:t> </w:t>
      </w:r>
      <w:r>
        <w:rPr>
          <w:color w:val="231F20"/>
        </w:rPr>
        <w:t>l’engagement</w:t>
      </w:r>
      <w:r>
        <w:rPr>
          <w:color w:val="231F20"/>
          <w:spacing w:val="11"/>
        </w:rPr>
        <w:t> </w:t>
      </w:r>
      <w:r>
        <w:rPr>
          <w:color w:val="231F20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à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collaboration</w:t>
      </w:r>
      <w:r>
        <w:rPr>
          <w:color w:val="231F20"/>
          <w:spacing w:val="11"/>
        </w:rPr>
        <w:t> </w:t>
      </w:r>
      <w:r>
        <w:rPr>
          <w:color w:val="231F20"/>
        </w:rPr>
        <w:t>entre</w:t>
      </w:r>
      <w:r>
        <w:rPr>
          <w:color w:val="231F20"/>
          <w:spacing w:val="11"/>
        </w:rPr>
        <w:t> </w:t>
      </w:r>
      <w:r>
        <w:rPr>
          <w:color w:val="231F20"/>
        </w:rPr>
        <w:t>SIG,</w:t>
      </w:r>
      <w:r>
        <w:rPr>
          <w:color w:val="231F20"/>
          <w:spacing w:val="11"/>
        </w:rPr>
        <w:t> </w:t>
      </w:r>
      <w:r>
        <w:rPr>
          <w:color w:val="231F20"/>
        </w:rPr>
        <w:t>le</w:t>
      </w:r>
      <w:r>
        <w:rPr>
          <w:color w:val="231F20"/>
        </w:rPr>
        <w:t> propriétaire</w:t>
      </w:r>
      <w:r>
        <w:rPr>
          <w:color w:val="231F20"/>
          <w:spacing w:val="2"/>
        </w:rPr>
        <w:t> </w:t>
      </w:r>
      <w:r>
        <w:rPr>
          <w:color w:val="231F20"/>
        </w:rPr>
        <w:t>du</w:t>
      </w:r>
      <w:r>
        <w:rPr>
          <w:color w:val="231F20"/>
          <w:spacing w:val="2"/>
        </w:rPr>
        <w:t> </w:t>
      </w:r>
      <w:r>
        <w:rPr>
          <w:color w:val="231F20"/>
        </w:rPr>
        <w:t>bâtiment</w:t>
      </w:r>
      <w:r>
        <w:rPr>
          <w:color w:val="231F20"/>
          <w:spacing w:val="2"/>
        </w:rPr>
        <w:t> </w:t>
      </w:r>
      <w:r>
        <w:rPr>
          <w:color w:val="231F20"/>
        </w:rPr>
        <w:t>et</w:t>
      </w:r>
      <w:r>
        <w:rPr>
          <w:color w:val="231F20"/>
          <w:spacing w:val="2"/>
        </w:rPr>
        <w:t> </w:t>
      </w:r>
      <w:r>
        <w:rPr>
          <w:color w:val="231F20"/>
        </w:rPr>
        <w:t>les</w:t>
      </w:r>
      <w:r>
        <w:rPr>
          <w:color w:val="231F20"/>
          <w:spacing w:val="2"/>
        </w:rPr>
        <w:t> </w:t>
      </w:r>
      <w:r>
        <w:rPr>
          <w:color w:val="231F20"/>
        </w:rPr>
        <w:t>locataires.</w:t>
      </w:r>
      <w:r>
        <w:rPr>
          <w:color w:val="231F20"/>
          <w:spacing w:val="2"/>
        </w:rPr>
        <w:t> </w:t>
      </w:r>
      <w:r>
        <w:rPr>
          <w:color w:val="231F20"/>
        </w:rPr>
        <w:t>Pour</w:t>
      </w:r>
      <w:r>
        <w:rPr>
          <w:color w:val="231F20"/>
          <w:spacing w:val="2"/>
        </w:rPr>
        <w:t> </w:t>
      </w:r>
      <w:r>
        <w:rPr>
          <w:color w:val="231F20"/>
        </w:rPr>
        <w:t>cette</w:t>
      </w:r>
      <w:r>
        <w:rPr>
          <w:color w:val="231F20"/>
          <w:spacing w:val="2"/>
        </w:rPr>
        <w:t> </w:t>
      </w:r>
      <w:r>
        <w:rPr>
          <w:color w:val="231F20"/>
        </w:rPr>
        <w:t>stratégie</w:t>
      </w:r>
      <w:r>
        <w:rPr>
          <w:color w:val="231F20"/>
          <w:spacing w:val="2"/>
        </w:rPr>
        <w:t> </w:t>
      </w:r>
      <w:r>
        <w:rPr>
          <w:color w:val="231F20"/>
        </w:rPr>
        <w:t>énergétique</w:t>
      </w:r>
      <w:r>
        <w:rPr>
          <w:color w:val="231F20"/>
          <w:spacing w:val="2"/>
        </w:rPr>
        <w:t> </w:t>
      </w:r>
      <w:r>
        <w:rPr>
          <w:color w:val="231F20"/>
        </w:rPr>
        <w:t>innovante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faveur</w:t>
      </w:r>
      <w:r>
        <w:rPr>
          <w:color w:val="231F20"/>
        </w:rPr>
        <w:t> d’une utilisation intelligente du courant, ils reçoivent le Prix </w:t>
      </w:r>
      <w:r>
        <w:rPr>
          <w:color w:val="231F20"/>
          <w:spacing w:val="-1"/>
        </w:rPr>
        <w:t>Solaire</w:t>
      </w:r>
      <w:r>
        <w:rPr>
          <w:color w:val="231F20"/>
        </w:rPr>
        <w:t> Suisse 2017.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SIG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(Services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Industriels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de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Genève),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1211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Genève/GE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taille</w:t>
      </w:r>
      <w:r>
        <w:rPr>
          <w:color w:val="231F20"/>
          <w:spacing w:val="-14"/>
        </w:rPr>
        <w:t> </w:t>
      </w:r>
      <w:r>
        <w:rPr>
          <w:color w:val="231F20"/>
        </w:rPr>
        <w:t>d’un</w:t>
      </w:r>
      <w:r>
        <w:rPr>
          <w:color w:val="231F20"/>
          <w:spacing w:val="-14"/>
        </w:rPr>
        <w:t> </w:t>
      </w:r>
      <w:r>
        <w:rPr>
          <w:color w:val="231F20"/>
        </w:rPr>
        <w:t>terrain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football,</w:t>
      </w:r>
      <w:r>
        <w:rPr>
          <w:color w:val="231F20"/>
          <w:spacing w:val="-14"/>
        </w:rPr>
        <w:t> </w:t>
      </w:r>
      <w:r>
        <w:rPr>
          <w:color w:val="231F20"/>
        </w:rPr>
        <w:t>l’entrepôt</w:t>
      </w:r>
      <w:r>
        <w:rPr>
          <w:color w:val="231F20"/>
        </w:rPr>
        <w:t> de</w:t>
      </w:r>
      <w:r>
        <w:rPr>
          <w:color w:val="231F20"/>
          <w:spacing w:val="14"/>
        </w:rPr>
        <w:t> </w:t>
      </w:r>
      <w:r>
        <w:rPr>
          <w:color w:val="231F20"/>
        </w:rPr>
        <w:t>stockage</w:t>
      </w:r>
      <w:r>
        <w:rPr>
          <w:color w:val="231F20"/>
          <w:spacing w:val="14"/>
        </w:rPr>
        <w:t> </w:t>
      </w:r>
      <w:r>
        <w:rPr>
          <w:color w:val="231F20"/>
        </w:rPr>
        <w:t>situé</w:t>
      </w:r>
      <w:r>
        <w:rPr>
          <w:color w:val="231F20"/>
          <w:spacing w:val="14"/>
        </w:rPr>
        <w:t> </w:t>
      </w:r>
      <w:r>
        <w:rPr>
          <w:color w:val="231F20"/>
        </w:rPr>
        <w:t>dans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zone</w:t>
      </w:r>
      <w:r>
        <w:rPr>
          <w:color w:val="231F20"/>
          <w:spacing w:val="14"/>
        </w:rPr>
        <w:t> </w:t>
      </w:r>
      <w:r>
        <w:rPr>
          <w:color w:val="231F20"/>
        </w:rPr>
        <w:t>industrielle</w:t>
      </w:r>
      <w:r>
        <w:rPr>
          <w:color w:val="231F20"/>
        </w:rPr>
        <w:t> de</w:t>
      </w:r>
      <w:r>
        <w:rPr>
          <w:color w:val="231F20"/>
          <w:spacing w:val="-7"/>
        </w:rPr>
        <w:t> </w:t>
      </w:r>
      <w:r>
        <w:rPr>
          <w:color w:val="231F20"/>
        </w:rPr>
        <w:t>Satigny</w:t>
      </w:r>
      <w:r>
        <w:rPr>
          <w:color w:val="231F20"/>
          <w:spacing w:val="-7"/>
        </w:rPr>
        <w:t> </w:t>
      </w:r>
      <w:r>
        <w:rPr>
          <w:color w:val="231F20"/>
        </w:rPr>
        <w:t>(GE)</w:t>
      </w:r>
      <w:r>
        <w:rPr>
          <w:color w:val="231F20"/>
          <w:spacing w:val="-7"/>
        </w:rPr>
        <w:t> </w:t>
      </w:r>
      <w:r>
        <w:rPr>
          <w:color w:val="231F20"/>
        </w:rPr>
        <w:t>est</w:t>
      </w:r>
      <w:r>
        <w:rPr>
          <w:color w:val="231F20"/>
          <w:spacing w:val="-7"/>
        </w:rPr>
        <w:t> </w:t>
      </w:r>
      <w:r>
        <w:rPr>
          <w:color w:val="231F20"/>
        </w:rPr>
        <w:t>parti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fumée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2013.</w:t>
      </w:r>
      <w:r>
        <w:rPr>
          <w:color w:val="231F20"/>
        </w:rPr>
        <w:t> Trois</w:t>
      </w:r>
      <w:r>
        <w:rPr>
          <w:color w:val="231F20"/>
          <w:spacing w:val="17"/>
        </w:rPr>
        <w:t> </w:t>
      </w:r>
      <w:r>
        <w:rPr>
          <w:color w:val="231F20"/>
        </w:rPr>
        <w:t>ans</w:t>
      </w:r>
      <w:r>
        <w:rPr>
          <w:color w:val="231F20"/>
          <w:spacing w:val="17"/>
        </w:rPr>
        <w:t> </w:t>
      </w:r>
      <w:r>
        <w:rPr>
          <w:color w:val="231F20"/>
        </w:rPr>
        <w:t>plus</w:t>
      </w:r>
      <w:r>
        <w:rPr>
          <w:color w:val="231F20"/>
          <w:spacing w:val="17"/>
        </w:rPr>
        <w:t> </w:t>
      </w:r>
      <w:r>
        <w:rPr>
          <w:color w:val="231F20"/>
        </w:rPr>
        <w:t>tard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eu</w:t>
      </w:r>
      <w:r>
        <w:rPr>
          <w:color w:val="231F20"/>
          <w:spacing w:val="17"/>
        </w:rPr>
        <w:t> </w:t>
      </w:r>
      <w:r>
        <w:rPr>
          <w:color w:val="231F20"/>
        </w:rPr>
        <w:t>lieu</w:t>
      </w:r>
      <w:r>
        <w:rPr>
          <w:color w:val="231F20"/>
          <w:spacing w:val="17"/>
        </w:rPr>
        <w:t> </w:t>
      </w:r>
      <w:r>
        <w:rPr>
          <w:color w:val="231F20"/>
        </w:rPr>
        <w:t>l’inauguration</w:t>
      </w:r>
      <w:r>
        <w:rPr>
          <w:color w:val="231F20"/>
        </w:rPr>
        <w:t> 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«Sablière».</w:t>
      </w:r>
      <w:r>
        <w:rPr>
          <w:color w:val="231F20"/>
          <w:spacing w:val="-7"/>
        </w:rPr>
        <w:t> </w:t>
      </w:r>
      <w:r>
        <w:rPr>
          <w:color w:val="231F20"/>
        </w:rPr>
        <w:t>Sur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nouveau</w:t>
      </w:r>
      <w:r>
        <w:rPr>
          <w:color w:val="231F20"/>
          <w:spacing w:val="-7"/>
        </w:rPr>
        <w:t> </w:t>
      </w:r>
      <w:r>
        <w:rPr>
          <w:color w:val="231F20"/>
        </w:rPr>
        <w:t>toit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pen-</w:t>
      </w:r>
      <w:r>
        <w:rPr>
          <w:color w:val="231F20"/>
          <w:spacing w:val="23"/>
        </w:rPr>
        <w:t> </w:t>
      </w:r>
      <w:r>
        <w:rPr>
          <w:color w:val="231F20"/>
        </w:rPr>
        <w:t>te,</w:t>
      </w:r>
      <w:r>
        <w:rPr>
          <w:color w:val="231F20"/>
          <w:spacing w:val="46"/>
        </w:rPr>
        <w:t> </w:t>
      </w:r>
      <w:r>
        <w:rPr>
          <w:color w:val="231F20"/>
        </w:rPr>
        <w:t>une</w:t>
      </w:r>
      <w:r>
        <w:rPr>
          <w:color w:val="231F20"/>
          <w:spacing w:val="47"/>
        </w:rPr>
        <w:t> </w:t>
      </w:r>
      <w:r>
        <w:rPr>
          <w:color w:val="231F20"/>
        </w:rPr>
        <w:t>installation</w:t>
      </w:r>
      <w:r>
        <w:rPr>
          <w:color w:val="231F20"/>
          <w:spacing w:val="46"/>
        </w:rPr>
        <w:t> </w:t>
      </w:r>
      <w:r>
        <w:rPr>
          <w:color w:val="231F20"/>
        </w:rPr>
        <w:t>PV</w:t>
      </w:r>
      <w:r>
        <w:rPr>
          <w:color w:val="231F20"/>
          <w:spacing w:val="47"/>
        </w:rPr>
        <w:t> </w:t>
      </w:r>
      <w:r>
        <w:rPr>
          <w:color w:val="231F20"/>
        </w:rPr>
        <w:t>orientée</w:t>
      </w:r>
      <w:r>
        <w:rPr>
          <w:color w:val="231F20"/>
          <w:spacing w:val="47"/>
        </w:rPr>
        <w:t> </w:t>
      </w:r>
      <w:r>
        <w:rPr>
          <w:color w:val="231F20"/>
        </w:rPr>
        <w:t>est-ouest</w:t>
      </w:r>
      <w:r>
        <w:rPr>
          <w:color w:val="231F20"/>
        </w:rPr>
        <w:t> produit</w:t>
      </w:r>
      <w:r>
        <w:rPr>
          <w:color w:val="231F20"/>
          <w:spacing w:val="4"/>
        </w:rPr>
        <w:t> </w:t>
      </w:r>
      <w:r>
        <w:rPr>
          <w:color w:val="231F20"/>
        </w:rPr>
        <w:t>370’000</w:t>
      </w:r>
      <w:r>
        <w:rPr>
          <w:color w:val="231F20"/>
          <w:spacing w:val="4"/>
        </w:rPr>
        <w:t> </w:t>
      </w:r>
      <w:r>
        <w:rPr>
          <w:color w:val="231F20"/>
        </w:rPr>
        <w:t>kWh/a.</w:t>
      </w:r>
      <w:r>
        <w:rPr>
          <w:color w:val="231F20"/>
          <w:spacing w:val="4"/>
        </w:rPr>
        <w:t> </w:t>
      </w:r>
      <w:r>
        <w:rPr>
          <w:color w:val="231F20"/>
        </w:rPr>
        <w:t>Le</w:t>
      </w:r>
      <w:r>
        <w:rPr>
          <w:color w:val="231F20"/>
          <w:spacing w:val="4"/>
        </w:rPr>
        <w:t> </w:t>
      </w:r>
      <w:r>
        <w:rPr>
          <w:color w:val="231F20"/>
        </w:rPr>
        <w:t>chauffage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</w:rPr>
        <w:t> climatisation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3"/>
        </w:rPr>
        <w:t> </w:t>
      </w:r>
      <w:r>
        <w:rPr>
          <w:color w:val="231F20"/>
        </w:rPr>
        <w:t>alimentés</w:t>
      </w:r>
      <w:r>
        <w:rPr>
          <w:color w:val="231F20"/>
          <w:spacing w:val="-3"/>
        </w:rPr>
        <w:t> </w:t>
      </w:r>
      <w:r>
        <w:rPr>
          <w:color w:val="231F20"/>
        </w:rPr>
        <w:t>par</w:t>
      </w:r>
      <w:r>
        <w:rPr>
          <w:color w:val="231F20"/>
          <w:spacing w:val="-3"/>
        </w:rPr>
        <w:t> </w:t>
      </w:r>
      <w:r>
        <w:rPr>
          <w:color w:val="231F20"/>
        </w:rPr>
        <w:t>une</w:t>
      </w:r>
      <w:r>
        <w:rPr>
          <w:color w:val="231F20"/>
          <w:spacing w:val="-3"/>
        </w:rPr>
        <w:t> </w:t>
      </w:r>
      <w:r>
        <w:rPr>
          <w:color w:val="231F20"/>
        </w:rPr>
        <w:t>pompe</w:t>
      </w:r>
      <w:r>
        <w:rPr>
          <w:color w:val="231F20"/>
        </w:rPr>
        <w:t> à</w:t>
      </w:r>
      <w:r>
        <w:rPr>
          <w:color w:val="231F20"/>
          <w:spacing w:val="23"/>
        </w:rPr>
        <w:t> </w:t>
      </w:r>
      <w:r>
        <w:rPr>
          <w:color w:val="231F20"/>
        </w:rPr>
        <w:t>chaleur</w:t>
      </w:r>
      <w:r>
        <w:rPr>
          <w:color w:val="231F20"/>
          <w:spacing w:val="23"/>
        </w:rPr>
        <w:t> </w:t>
      </w:r>
      <w:r>
        <w:rPr>
          <w:color w:val="231F20"/>
        </w:rPr>
        <w:t>solaire</w:t>
      </w:r>
      <w:r>
        <w:rPr>
          <w:color w:val="231F20"/>
          <w:spacing w:val="23"/>
        </w:rPr>
        <w:t> </w:t>
      </w:r>
      <w:r>
        <w:rPr>
          <w:color w:val="231F20"/>
        </w:rPr>
        <w:t>ainsi</w:t>
      </w:r>
      <w:r>
        <w:rPr>
          <w:color w:val="231F20"/>
          <w:spacing w:val="23"/>
        </w:rPr>
        <w:t> </w:t>
      </w:r>
      <w:r>
        <w:rPr>
          <w:color w:val="231F20"/>
        </w:rPr>
        <w:t>qu’une</w:t>
      </w:r>
      <w:r>
        <w:rPr>
          <w:color w:val="231F20"/>
          <w:spacing w:val="23"/>
        </w:rPr>
        <w:t> </w:t>
      </w:r>
      <w:r>
        <w:rPr>
          <w:color w:val="231F20"/>
        </w:rPr>
        <w:t>chaudière</w:t>
      </w:r>
      <w:r>
        <w:rPr>
          <w:color w:val="231F20"/>
          <w:spacing w:val="23"/>
        </w:rPr>
        <w:t> </w:t>
      </w:r>
      <w:r>
        <w:rPr>
          <w:color w:val="231F20"/>
        </w:rPr>
        <w:t>à</w:t>
      </w:r>
      <w:r>
        <w:rPr>
          <w:color w:val="231F20"/>
        </w:rPr>
        <w:t> gaz,</w:t>
      </w:r>
      <w:r>
        <w:rPr>
          <w:color w:val="231F20"/>
          <w:spacing w:val="3"/>
        </w:rPr>
        <w:t> </w:t>
      </w:r>
      <w:r>
        <w:rPr>
          <w:color w:val="231F20"/>
        </w:rPr>
        <w:t>mise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service</w:t>
      </w:r>
      <w:r>
        <w:rPr>
          <w:color w:val="231F20"/>
          <w:spacing w:val="3"/>
        </w:rPr>
        <w:t> </w:t>
      </w:r>
      <w:r>
        <w:rPr>
          <w:color w:val="231F20"/>
        </w:rPr>
        <w:t>uniquement</w:t>
      </w:r>
      <w:r>
        <w:rPr>
          <w:color w:val="231F20"/>
          <w:spacing w:val="3"/>
        </w:rPr>
        <w:t> </w:t>
      </w:r>
      <w:r>
        <w:rPr>
          <w:color w:val="231F20"/>
        </w:rPr>
        <w:t>par</w:t>
      </w:r>
      <w:r>
        <w:rPr>
          <w:color w:val="231F20"/>
          <w:spacing w:val="3"/>
        </w:rPr>
        <w:t> </w:t>
      </w:r>
      <w:r>
        <w:rPr>
          <w:color w:val="231F20"/>
        </w:rPr>
        <w:t>grand</w:t>
      </w:r>
      <w:r>
        <w:rPr>
          <w:color w:val="231F20"/>
        </w:rPr>
        <w:t> froid.</w:t>
      </w:r>
      <w:r>
        <w:rPr/>
      </w:r>
    </w:p>
    <w:p>
      <w:pPr>
        <w:pStyle w:val="BodyText"/>
        <w:spacing w:line="232" w:lineRule="auto" w:before="14"/>
        <w:ind w:right="0" w:firstLine="226"/>
        <w:jc w:val="right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collaboration</w:t>
      </w:r>
      <w:r>
        <w:rPr>
          <w:color w:val="231F20"/>
          <w:spacing w:val="-7"/>
        </w:rPr>
        <w:t> </w:t>
      </w:r>
      <w:r>
        <w:rPr>
          <w:color w:val="231F20"/>
        </w:rPr>
        <w:t>avec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propriétaire,</w:t>
      </w:r>
      <w:r>
        <w:rPr>
          <w:color w:val="231F20"/>
          <w:spacing w:val="-7"/>
        </w:rPr>
        <w:t> </w:t>
      </w:r>
      <w:r>
        <w:rPr>
          <w:color w:val="231F20"/>
        </w:rPr>
        <w:t>SIG</w:t>
      </w:r>
      <w:r>
        <w:rPr>
          <w:color w:val="231F20"/>
        </w:rPr>
        <w:t> a</w:t>
      </w:r>
      <w:r>
        <w:rPr>
          <w:color w:val="231F20"/>
          <w:spacing w:val="10"/>
        </w:rPr>
        <w:t> </w:t>
      </w:r>
      <w:r>
        <w:rPr>
          <w:color w:val="231F20"/>
        </w:rPr>
        <w:t>réuni</w:t>
      </w:r>
      <w:r>
        <w:rPr>
          <w:color w:val="231F20"/>
          <w:spacing w:val="10"/>
        </w:rPr>
        <w:t> </w:t>
      </w:r>
      <w:r>
        <w:rPr>
          <w:color w:val="231F20"/>
        </w:rPr>
        <w:t>une</w:t>
      </w:r>
      <w:r>
        <w:rPr>
          <w:color w:val="231F20"/>
          <w:spacing w:val="10"/>
        </w:rPr>
        <w:t> </w:t>
      </w:r>
      <w:r>
        <w:rPr>
          <w:color w:val="231F20"/>
        </w:rPr>
        <w:t>communauté</w:t>
      </w:r>
      <w:r>
        <w:rPr>
          <w:color w:val="231F20"/>
          <w:spacing w:val="10"/>
        </w:rPr>
        <w:t> </w:t>
      </w:r>
      <w:r>
        <w:rPr>
          <w:color w:val="231F20"/>
        </w:rPr>
        <w:t>adepte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l’auto-</w:t>
      </w:r>
      <w:r>
        <w:rPr>
          <w:color w:val="231F20"/>
        </w:rPr>
        <w:t> consommation.  Les  locataires  s’engagent à</w:t>
      </w:r>
      <w:r>
        <w:rPr>
          <w:color w:val="231F20"/>
          <w:spacing w:val="20"/>
        </w:rPr>
        <w:t> </w:t>
      </w:r>
      <w:r>
        <w:rPr>
          <w:color w:val="231F20"/>
        </w:rPr>
        <w:t>utiliser</w:t>
      </w:r>
      <w:r>
        <w:rPr>
          <w:color w:val="231F20"/>
          <w:spacing w:val="20"/>
        </w:rPr>
        <w:t> </w:t>
      </w:r>
      <w:r>
        <w:rPr>
          <w:color w:val="231F20"/>
        </w:rPr>
        <w:t>principalement</w:t>
      </w:r>
      <w:r>
        <w:rPr>
          <w:color w:val="231F20"/>
          <w:spacing w:val="20"/>
        </w:rPr>
        <w:t> </w:t>
      </w:r>
      <w:r>
        <w:rPr>
          <w:color w:val="231F20"/>
        </w:rPr>
        <w:t>l’énergie</w:t>
      </w:r>
      <w:r>
        <w:rPr>
          <w:color w:val="231F20"/>
          <w:spacing w:val="20"/>
        </w:rPr>
        <w:t> </w:t>
      </w:r>
      <w:r>
        <w:rPr>
          <w:color w:val="231F20"/>
        </w:rPr>
        <w:t>produite</w:t>
      </w:r>
      <w:r>
        <w:rPr>
          <w:color w:val="231F20"/>
        </w:rPr>
        <w:t> sur</w:t>
      </w:r>
      <w:r>
        <w:rPr>
          <w:color w:val="231F20"/>
          <w:spacing w:val="35"/>
        </w:rPr>
        <w:t> </w:t>
      </w:r>
      <w:r>
        <w:rPr>
          <w:color w:val="231F20"/>
        </w:rPr>
        <w:t>place.</w:t>
      </w:r>
      <w:r>
        <w:rPr>
          <w:color w:val="231F20"/>
          <w:spacing w:val="36"/>
        </w:rPr>
        <w:t> </w:t>
      </w:r>
      <w:r>
        <w:rPr>
          <w:color w:val="231F20"/>
        </w:rPr>
        <w:t>Le</w:t>
      </w:r>
      <w:r>
        <w:rPr>
          <w:color w:val="231F20"/>
          <w:spacing w:val="35"/>
        </w:rPr>
        <w:t> </w:t>
      </w:r>
      <w:r>
        <w:rPr>
          <w:color w:val="231F20"/>
        </w:rPr>
        <w:t>courant</w:t>
      </w:r>
      <w:r>
        <w:rPr>
          <w:color w:val="231F20"/>
          <w:spacing w:val="36"/>
        </w:rPr>
        <w:t> </w:t>
      </w:r>
      <w:r>
        <w:rPr>
          <w:color w:val="231F20"/>
        </w:rPr>
        <w:t>solaire</w:t>
      </w:r>
      <w:r>
        <w:rPr>
          <w:color w:val="231F20"/>
          <w:spacing w:val="36"/>
        </w:rPr>
        <w:t> </w:t>
      </w:r>
      <w:r>
        <w:rPr>
          <w:color w:val="231F20"/>
        </w:rPr>
        <w:t>étant</w:t>
      </w:r>
      <w:r>
        <w:rPr>
          <w:color w:val="231F20"/>
          <w:spacing w:val="35"/>
        </w:rPr>
        <w:t> </w:t>
      </w:r>
      <w:r>
        <w:rPr>
          <w:color w:val="231F20"/>
        </w:rPr>
        <w:t>moins</w:t>
      </w:r>
      <w:r>
        <w:rPr>
          <w:color w:val="231F20"/>
        </w:rPr>
        <w:t> cher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celui</w:t>
      </w:r>
      <w:r>
        <w:rPr>
          <w:color w:val="231F20"/>
          <w:spacing w:val="1"/>
        </w:rPr>
        <w:t>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</w:rPr>
        <w:t>réseau,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encourage</w:t>
      </w:r>
      <w:r>
        <w:rPr>
          <w:color w:val="231F20"/>
        </w:rPr>
        <w:t> à</w:t>
      </w:r>
      <w:r>
        <w:rPr>
          <w:color w:val="231F20"/>
          <w:spacing w:val="12"/>
        </w:rPr>
        <w:t> </w:t>
      </w:r>
      <w:r>
        <w:rPr>
          <w:color w:val="231F20"/>
        </w:rPr>
        <w:t>le</w:t>
      </w:r>
      <w:r>
        <w:rPr>
          <w:color w:val="231F20"/>
          <w:spacing w:val="12"/>
        </w:rPr>
        <w:t> </w:t>
      </w:r>
      <w:r>
        <w:rPr>
          <w:color w:val="231F20"/>
        </w:rPr>
        <w:t>consommer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journée</w:t>
      </w:r>
      <w:r>
        <w:rPr>
          <w:color w:val="231F20"/>
          <w:spacing w:val="12"/>
        </w:rPr>
        <w:t> </w:t>
      </w:r>
      <w:r>
        <w:rPr>
          <w:color w:val="231F20"/>
        </w:rPr>
        <w:t>et,</w:t>
      </w:r>
      <w:r>
        <w:rPr>
          <w:color w:val="231F20"/>
          <w:spacing w:val="12"/>
        </w:rPr>
        <w:t> </w:t>
      </w:r>
      <w:r>
        <w:rPr>
          <w:color w:val="231F20"/>
        </w:rPr>
        <w:t>si</w:t>
      </w:r>
      <w:r>
        <w:rPr>
          <w:color w:val="231F20"/>
          <w:spacing w:val="12"/>
        </w:rPr>
        <w:t> </w:t>
      </w:r>
      <w:r>
        <w:rPr>
          <w:color w:val="231F20"/>
        </w:rPr>
        <w:t>possible,</w:t>
      </w:r>
      <w:r>
        <w:rPr>
          <w:color w:val="231F20"/>
        </w:rPr>
        <w:t> durant</w:t>
      </w:r>
      <w:r>
        <w:rPr>
          <w:color w:val="231F20"/>
          <w:spacing w:val="45"/>
        </w:rPr>
        <w:t> </w:t>
      </w:r>
      <w:r>
        <w:rPr>
          <w:color w:val="231F20"/>
        </w:rPr>
        <w:t>les</w:t>
      </w:r>
      <w:r>
        <w:rPr>
          <w:color w:val="231F20"/>
          <w:spacing w:val="46"/>
        </w:rPr>
        <w:t> </w:t>
      </w:r>
      <w:r>
        <w:rPr>
          <w:color w:val="231F20"/>
        </w:rPr>
        <w:t>pics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production.</w:t>
      </w:r>
      <w:r>
        <w:rPr>
          <w:color w:val="231F20"/>
          <w:spacing w:val="46"/>
        </w:rPr>
        <w:t> </w:t>
      </w:r>
      <w:r>
        <w:rPr>
          <w:color w:val="231F20"/>
        </w:rPr>
        <w:t>Depuis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</w:rPr>
        <w:t> mise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œuvre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l’automne</w:t>
      </w:r>
      <w:r>
        <w:rPr>
          <w:color w:val="231F20"/>
          <w:spacing w:val="-6"/>
        </w:rPr>
        <w:t> </w:t>
      </w:r>
      <w:r>
        <w:rPr>
          <w:color w:val="231F20"/>
        </w:rPr>
        <w:t>2016,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</w:rPr>
        <w:t> l’autoconsommation</w:t>
      </w:r>
      <w:r>
        <w:rPr>
          <w:color w:val="231F20"/>
          <w:spacing w:val="-6"/>
        </w:rPr>
        <w:t> </w:t>
      </w:r>
      <w:r>
        <w:rPr>
          <w:color w:val="231F20"/>
        </w:rPr>
        <w:t>s’élève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environ</w:t>
      </w:r>
      <w:r>
        <w:rPr>
          <w:color w:val="231F20"/>
          <w:spacing w:val="-6"/>
        </w:rPr>
        <w:t> </w:t>
      </w:r>
      <w:r>
        <w:rPr>
          <w:color w:val="231F20"/>
        </w:rPr>
        <w:t>45%.</w:t>
      </w:r>
      <w:r>
        <w:rPr>
          <w:color w:val="231F20"/>
        </w:rPr>
        <w:t> Le</w:t>
      </w:r>
      <w:r>
        <w:rPr>
          <w:color w:val="231F20"/>
          <w:spacing w:val="40"/>
        </w:rPr>
        <w:t> </w:t>
      </w:r>
      <w:r>
        <w:rPr>
          <w:color w:val="231F20"/>
        </w:rPr>
        <w:t>logiciel</w:t>
      </w:r>
      <w:r>
        <w:rPr>
          <w:color w:val="231F20"/>
          <w:spacing w:val="41"/>
        </w:rPr>
        <w:t> </w:t>
      </w:r>
      <w:r>
        <w:rPr>
          <w:color w:val="231F20"/>
        </w:rPr>
        <w:t>SMART</w:t>
      </w:r>
      <w:r>
        <w:rPr>
          <w:color w:val="231F20"/>
          <w:spacing w:val="40"/>
        </w:rPr>
        <w:t> </w:t>
      </w:r>
      <w:r>
        <w:rPr>
          <w:color w:val="231F20"/>
        </w:rPr>
        <w:t>permet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gérer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</w:rPr>
        <w:t> consommation </w:t>
      </w:r>
      <w:r>
        <w:rPr>
          <w:color w:val="231F20"/>
          <w:spacing w:val="3"/>
        </w:rPr>
        <w:t> </w:t>
      </w:r>
      <w:r>
        <w:rPr>
          <w:color w:val="231F20"/>
        </w:rPr>
        <w:t>et </w:t>
      </w:r>
      <w:r>
        <w:rPr>
          <w:color w:val="231F20"/>
          <w:spacing w:val="3"/>
        </w:rPr>
        <w:t> </w:t>
      </w:r>
      <w:r>
        <w:rPr>
          <w:color w:val="231F20"/>
        </w:rPr>
        <w:t>d’obtenir </w:t>
      </w:r>
      <w:r>
        <w:rPr>
          <w:color w:val="231F20"/>
          <w:spacing w:val="3"/>
        </w:rPr>
        <w:t> </w:t>
      </w:r>
      <w:r>
        <w:rPr>
          <w:color w:val="231F20"/>
        </w:rPr>
        <w:t>un </w:t>
      </w:r>
      <w:r>
        <w:rPr>
          <w:color w:val="231F20"/>
          <w:spacing w:val="3"/>
        </w:rPr>
        <w:t> </w:t>
      </w:r>
      <w:r>
        <w:rPr>
          <w:color w:val="231F20"/>
        </w:rPr>
        <w:t>décompte</w:t>
      </w:r>
      <w:r>
        <w:rPr>
          <w:color w:val="231F20"/>
        </w:rPr>
        <w:t> précis</w:t>
      </w:r>
      <w:r>
        <w:rPr>
          <w:color w:val="231F20"/>
          <w:spacing w:val="13"/>
        </w:rPr>
        <w:t> </w:t>
      </w:r>
      <w:r>
        <w:rPr>
          <w:color w:val="231F20"/>
        </w:rPr>
        <w:t>pour</w:t>
      </w:r>
      <w:r>
        <w:rPr>
          <w:color w:val="231F20"/>
          <w:spacing w:val="13"/>
        </w:rPr>
        <w:t> </w:t>
      </w:r>
      <w:r>
        <w:rPr>
          <w:color w:val="231F20"/>
        </w:rPr>
        <w:t>chacune</w:t>
      </w:r>
      <w:r>
        <w:rPr>
          <w:color w:val="231F20"/>
          <w:spacing w:val="13"/>
        </w:rPr>
        <w:t> </w:t>
      </w:r>
      <w:r>
        <w:rPr>
          <w:color w:val="231F20"/>
        </w:rPr>
        <w:t>des</w:t>
      </w:r>
      <w:r>
        <w:rPr>
          <w:color w:val="231F20"/>
          <w:spacing w:val="13"/>
        </w:rPr>
        <w:t> </w:t>
      </w:r>
      <w:r>
        <w:rPr>
          <w:color w:val="231F20"/>
        </w:rPr>
        <w:t>treize</w:t>
      </w:r>
      <w:r>
        <w:rPr>
          <w:color w:val="231F20"/>
          <w:spacing w:val="13"/>
        </w:rPr>
        <w:t> </w:t>
      </w:r>
      <w:r>
        <w:rPr>
          <w:color w:val="231F20"/>
        </w:rPr>
        <w:t>entreprises</w:t>
      </w:r>
      <w:r>
        <w:rPr/>
      </w:r>
    </w:p>
    <w:p>
      <w:pPr>
        <w:spacing w:line="230" w:lineRule="exact" w:before="52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2013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geht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Industriezone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Sati-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gny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(GE)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gelegene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Lagerhalle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Grösse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eines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Fussballfeldes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Flammen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auf.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Drei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Jahre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später,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2016,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wird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neue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«Sablière»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eingeweiht.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Auf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neuen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Schrägdach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eine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ost-west-orientierte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PV-Anlage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instal-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liert,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jährlich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370’000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kWh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produziert.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Eine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solarbetriebene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Wärmepumpe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sorgt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für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Heizung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Kühlung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Gebäudes.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Gasheizung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wird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nur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als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«Sicherung»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bei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grosser Kälte eingeschaltet.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4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color w:val="231F20"/>
          <w:sz w:val="18"/>
        </w:rPr>
        <w:t>Darüber</w:t>
      </w:r>
      <w:r>
        <w:rPr>
          <w:rFonts w:ascii="Theinhardt Regular Italic" w:hAnsi="Theinhardt Regular Italic"/>
          <w:i/>
          <w:color w:val="231F20"/>
          <w:spacing w:val="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hinaus</w:t>
      </w:r>
      <w:r>
        <w:rPr>
          <w:rFonts w:ascii="Theinhardt Regular Italic" w:hAnsi="Theinhardt Regular Italic"/>
          <w:i/>
          <w:color w:val="231F20"/>
          <w:spacing w:val="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baute</w:t>
      </w:r>
      <w:r>
        <w:rPr>
          <w:rFonts w:ascii="Theinhardt Regular Italic" w:hAnsi="Theinhardt Regular Italic"/>
          <w:i/>
          <w:color w:val="231F20"/>
          <w:spacing w:val="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SIG</w:t>
      </w:r>
      <w:r>
        <w:rPr>
          <w:rFonts w:ascii="Theinhardt Regular Italic" w:hAnsi="Theinhardt Regular Italic"/>
          <w:i/>
          <w:color w:val="231F20"/>
          <w:spacing w:val="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zusammen</w:t>
      </w:r>
      <w:r>
        <w:rPr>
          <w:rFonts w:ascii="Theinhardt Regular Italic" w:hAnsi="Theinhardt Regular Italic"/>
          <w:i/>
          <w:color w:val="231F20"/>
          <w:spacing w:val="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mit</w:t>
      </w:r>
      <w:r>
        <w:rPr>
          <w:rFonts w:ascii="Theinhardt Regular Italic" w:hAnsi="Theinhardt Regular Italic"/>
          <w:i/>
          <w:color w:val="231F20"/>
          <w:sz w:val="18"/>
        </w:rPr>
        <w:t> dem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Eigentümer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eine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Eigenverbrauchsge-</w:t>
      </w:r>
      <w:r>
        <w:rPr>
          <w:rFonts w:ascii="Theinhardt Regular Italic" w:hAnsi="Theinhardt Regular Italic"/>
          <w:i/>
          <w:color w:val="231F20"/>
          <w:sz w:val="18"/>
        </w:rPr>
        <w:t> meinschaft</w:t>
      </w:r>
      <w:r>
        <w:rPr>
          <w:rFonts w:ascii="Theinhardt Regular Italic" w:hAnsi="Theinhardt Regular Italic"/>
          <w:i/>
          <w:color w:val="231F20"/>
          <w:spacing w:val="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auf.</w:t>
      </w:r>
      <w:r>
        <w:rPr>
          <w:rFonts w:ascii="Theinhardt Regular Italic" w:hAnsi="Theinhardt Regular Italic"/>
          <w:i/>
          <w:color w:val="231F20"/>
          <w:spacing w:val="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Mieter</w:t>
      </w:r>
      <w:r>
        <w:rPr>
          <w:rFonts w:ascii="Theinhardt Regular Italic" w:hAnsi="Theinhardt Regular Italic"/>
          <w:i/>
          <w:color w:val="231F20"/>
          <w:spacing w:val="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verpflichten</w:t>
      </w:r>
      <w:r>
        <w:rPr>
          <w:rFonts w:ascii="Theinhardt Regular Italic" w:hAnsi="Theinhardt Regular Italic"/>
          <w:i/>
          <w:color w:val="231F20"/>
          <w:spacing w:val="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sich,</w:t>
      </w:r>
      <w:r>
        <w:rPr>
          <w:rFonts w:ascii="Theinhardt Regular Italic" w:hAnsi="Theinhardt Regular Italic"/>
          <w:i/>
          <w:color w:val="231F20"/>
          <w:sz w:val="18"/>
        </w:rPr>
        <w:t> hauptsächlich</w:t>
      </w:r>
      <w:r>
        <w:rPr>
          <w:rFonts w:ascii="Theinhardt Regular Italic" w:hAnsi="Theinhardt Regular Italic"/>
          <w:i/>
          <w:color w:val="231F20"/>
          <w:spacing w:val="1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1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vor</w:t>
      </w:r>
      <w:r>
        <w:rPr>
          <w:rFonts w:ascii="Theinhardt Regular Italic" w:hAnsi="Theinhardt Regular Italic"/>
          <w:i/>
          <w:color w:val="231F20"/>
          <w:spacing w:val="1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Ort</w:t>
      </w:r>
      <w:r>
        <w:rPr>
          <w:rFonts w:ascii="Theinhardt Regular Italic" w:hAnsi="Theinhardt Regular Italic"/>
          <w:i/>
          <w:color w:val="231F20"/>
          <w:spacing w:val="1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produzierte</w:t>
      </w:r>
      <w:r>
        <w:rPr>
          <w:rFonts w:ascii="Theinhardt Regular Italic" w:hAnsi="Theinhardt Regular Italic"/>
          <w:i/>
          <w:color w:val="231F20"/>
          <w:spacing w:val="17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Ener-</w:t>
      </w:r>
      <w:r>
        <w:rPr>
          <w:rFonts w:ascii="Theinhardt Regular Italic" w:hAnsi="Theinhardt Regular Italic"/>
          <w:i/>
          <w:color w:val="231F20"/>
          <w:sz w:val="18"/>
        </w:rPr>
        <w:t> gie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zu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verbrauchen.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Da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Solarstrom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güns-</w:t>
      </w:r>
      <w:r>
        <w:rPr>
          <w:rFonts w:ascii="Theinhardt Regular Italic" w:hAnsi="Theinhardt Regular Italic"/>
          <w:i/>
          <w:color w:val="231F20"/>
          <w:sz w:val="18"/>
        </w:rPr>
        <w:t> tiger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ist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als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Netzstrom,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sind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Mieter</w:t>
      </w:r>
      <w:r>
        <w:rPr>
          <w:rFonts w:ascii="Theinhardt Regular Italic" w:hAnsi="Theinhardt Regular Italic"/>
          <w:i/>
          <w:color w:val="231F20"/>
          <w:sz w:val="18"/>
        </w:rPr>
        <w:t> ermutigt,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tagsüber</w:t>
      </w:r>
      <w:r>
        <w:rPr>
          <w:rFonts w:ascii="Theinhardt Regular Italic" w:hAnsi="Theinhardt Regular Italic"/>
          <w:i/>
          <w:color w:val="231F20"/>
          <w:spacing w:val="3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und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möglichst</w:t>
      </w:r>
      <w:r>
        <w:rPr>
          <w:rFonts w:ascii="Theinhardt Regular Italic" w:hAnsi="Theinhardt Regular Italic"/>
          <w:i/>
          <w:color w:val="231F20"/>
          <w:spacing w:val="3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während</w:t>
      </w:r>
      <w:r>
        <w:rPr>
          <w:rFonts w:ascii="Theinhardt Regular Italic" w:hAnsi="Theinhardt Regular Italic"/>
          <w:i/>
          <w:color w:val="231F20"/>
          <w:sz w:val="18"/>
        </w:rPr>
        <w:t> den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Spitzenproduktionszeiten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Strom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zu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kon-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sumieren.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Seit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Inbetriebnahme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im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Herbst</w:t>
      </w:r>
      <w:r>
        <w:rPr>
          <w:rFonts w:ascii="Theinhardt Regular Italic" w:hAnsi="Theinhardt Regular Italic"/>
          <w:i/>
          <w:color w:val="231F20"/>
          <w:sz w:val="18"/>
        </w:rPr>
        <w:t> 2016</w:t>
      </w:r>
      <w:r>
        <w:rPr>
          <w:rFonts w:ascii="Theinhardt Regular Italic" w:hAnsi="Theinhardt Regular Italic"/>
          <w:i/>
          <w:color w:val="231F20"/>
          <w:spacing w:val="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beträgt</w:t>
      </w:r>
      <w:r>
        <w:rPr>
          <w:rFonts w:ascii="Theinhardt Regular Italic" w:hAnsi="Theinhardt Regular Italic"/>
          <w:i/>
          <w:color w:val="231F20"/>
          <w:spacing w:val="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Eigenverbrauchsanteil</w:t>
      </w:r>
      <w:r>
        <w:rPr>
          <w:rFonts w:ascii="Theinhardt Regular Italic" w:hAnsi="Theinhardt Regular Italic"/>
          <w:i/>
          <w:color w:val="231F20"/>
          <w:spacing w:val="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un-</w:t>
      </w:r>
      <w:r>
        <w:rPr>
          <w:rFonts w:ascii="Theinhardt Regular Italic" w:hAnsi="Theinhardt Regular Italic"/>
          <w:i/>
          <w:color w:val="231F20"/>
          <w:sz w:val="18"/>
        </w:rPr>
        <w:t> gefähr 45%.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Software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SMART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ermöglicht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über</w:t>
      </w:r>
      <w:r>
        <w:rPr>
          <w:rFonts w:ascii="Theinhardt Regular Italic" w:hAnsi="Theinhardt Regular Italic"/>
          <w:i/>
          <w:color w:val="231F20"/>
          <w:spacing w:val="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z w:val="18"/>
        </w:rPr>
        <w:t> Plattform</w:t>
      </w:r>
      <w:r>
        <w:rPr>
          <w:rFonts w:ascii="Theinhardt Regular Italic" w:hAnsi="Theinhardt Regular Italic"/>
          <w:i/>
          <w:color w:val="231F20"/>
          <w:spacing w:val="2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Activéco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Visio</w:t>
      </w:r>
      <w:r>
        <w:rPr>
          <w:rFonts w:ascii="Theinhardt Regular Italic" w:hAnsi="Theinhardt Regular Italic"/>
          <w:i/>
          <w:color w:val="231F20"/>
          <w:spacing w:val="2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Steuerung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des</w:t>
      </w:r>
      <w:r>
        <w:rPr>
          <w:rFonts w:ascii="Theinhardt Regular Italic" w:hAnsi="Theinhardt Regular Italic"/>
          <w:sz w:val="18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z w:val="14"/>
        </w:rPr>
        <w:t>Données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Isolation thermique</w:t>
      </w:r>
      <w:r>
        <w:rPr>
          <w:rFonts w:ascii="Theinhardt Bold"/>
          <w:sz w:val="14"/>
        </w:rPr>
      </w:r>
    </w:p>
    <w:p>
      <w:pPr>
        <w:tabs>
          <w:tab w:pos="1821" w:val="left" w:leader="none"/>
          <w:tab w:pos="256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Mur:</w:t>
        <w:tab/>
        <w:t>Valeur U:</w:t>
        <w:tab/>
        <w:t>0.20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821" w:val="left" w:leader="none"/>
          <w:tab w:pos="256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Toit:</w:t>
        <w:tab/>
        <w:t>Valeur U:</w:t>
        <w:tab/>
        <w:t>0.18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821" w:val="left" w:leader="none"/>
          <w:tab w:pos="256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Sol:</w:t>
        <w:tab/>
        <w:t>Valeur U:</w:t>
        <w:tab/>
        <w:t>0.25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821" w:val="left" w:leader="none"/>
          <w:tab w:pos="2652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Fenêtre:</w:t>
        <w:tab/>
        <w:t>Valeur U:</w:t>
        <w:tab/>
        <w:t>0.9 W/m</w:t>
      </w:r>
      <w:r>
        <w:rPr>
          <w:rFonts w:ascii="Theinhardt Regular" w:hAnsi="Theinhardt Regular"/>
          <w:color w:val="231F20"/>
          <w:position w:val="5"/>
          <w:sz w:val="8"/>
        </w:rPr>
        <w:t>2</w:t>
      </w:r>
      <w:r>
        <w:rPr>
          <w:rFonts w:ascii="Theinhardt Regular" w:hAnsi="Theinhardt Regular"/>
          <w:color w:val="231F20"/>
          <w:sz w:val="14"/>
        </w:rPr>
        <w:t>K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Besoins en énergie</w:t>
      </w:r>
      <w:r>
        <w:rPr>
          <w:rFonts w:ascii="Theinhardt Bold" w:hAnsi="Theinhardt Bold"/>
          <w:sz w:val="14"/>
        </w:rPr>
      </w:r>
    </w:p>
    <w:p>
      <w:pPr>
        <w:tabs>
          <w:tab w:pos="1648" w:val="left" w:leader="none"/>
          <w:tab w:pos="2004" w:val="left" w:leader="none"/>
          <w:tab w:pos="2518" w:val="left" w:leader="none"/>
          <w:tab w:pos="2876" w:val="left" w:leader="none"/>
        </w:tabs>
        <w:spacing w:line="207" w:lineRule="auto" w:before="6"/>
        <w:ind w:left="106" w:right="2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SRE: 13’960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Eau chaude:</w:t>
        <w:tab/>
        <w:tab/>
        <w:t>2.9</w:t>
        <w:tab/>
        <w:t>9</w:t>
        <w:tab/>
        <w:t>41’000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21" w:val="left" w:leader="none"/>
          <w:tab w:pos="2481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Chauffage:</w:t>
        <w:tab/>
        <w:t>20.0</w:t>
        <w:tab/>
        <w:t>67 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279’000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04" w:val="left" w:leader="none"/>
          <w:tab w:pos="2564" w:val="left" w:leader="none"/>
          <w:tab w:pos="287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Electricité (PAC):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1.6</w:t>
        <w:tab/>
        <w:t>6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23’000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04" w:val="left" w:leader="none"/>
          <w:tab w:pos="2481" w:val="left" w:leader="none"/>
          <w:tab w:pos="287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5.4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18</w:t>
        <w:tab/>
        <w:t>75’000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17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Total besoin en énergie:</w:t>
        <w:tab/>
        <w:t>29.9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418’000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Alimentation énergétique</w:t>
      </w:r>
      <w:r>
        <w:rPr>
          <w:rFonts w:ascii="Theinhardt Bold" w:hAnsi="Theinhardt Bold"/>
          <w:sz w:val="14"/>
        </w:rPr>
      </w:r>
    </w:p>
    <w:p>
      <w:pPr>
        <w:tabs>
          <w:tab w:pos="985" w:val="left" w:leader="none"/>
          <w:tab w:pos="1959" w:val="left" w:leader="none"/>
          <w:tab w:pos="2481" w:val="left" w:leader="none"/>
          <w:tab w:pos="2930" w:val="left" w:leader="none"/>
        </w:tabs>
        <w:spacing w:line="207" w:lineRule="auto" w:before="5"/>
        <w:ind w:left="106" w:right="2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Autoprod.: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1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kWc 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Dach:  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2’200    353</w:t>
        <w:tab/>
        <w:t>168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89  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370’000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18" w:val="left" w:leader="none"/>
          <w:tab w:pos="2950" w:val="left" w:leader="none"/>
        </w:tabs>
        <w:spacing w:line="172" w:lineRule="exact" w:before="38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Bilan énergétique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(énergie finale)</w:t>
        <w:tab/>
        <w:t>%</w:t>
        <w:tab/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481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Alimentation énergétique:</w:t>
        <w:tab/>
        <w:t>89  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370’000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Total besoin en énergie:</w:t>
        <w:tab/>
        <w:t>100   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418’000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81" w:val="left" w:leader="none"/>
          <w:tab w:pos="289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Apport d’énergie:</w:t>
        <w:tab/>
        <w:t>11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48’000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81" w:val="left" w:leader="none"/>
        </w:tabs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Taux d’autoconsommation:</w:t>
        <w:tab/>
        <w:t>45   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166’500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81" w:val="left" w:leader="none"/>
        </w:tabs>
        <w:spacing w:line="172" w:lineRule="exact" w:before="0"/>
        <w:ind w:left="106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Injection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d’énergie au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réseau: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55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203’500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Contact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Adresse de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l’installation: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1, rue des sablières, 1217 Meyrin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Tél. 022 716 500 17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Correspondence: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SIG, Sylvain Ledon</w:t>
      </w:r>
      <w:r>
        <w:rPr>
          <w:rFonts w:ascii="Theinhardt Regular"/>
          <w:sz w:val="14"/>
        </w:rPr>
      </w:r>
    </w:p>
    <w:p>
      <w:pPr>
        <w:spacing w:line="207" w:lineRule="auto" w:before="6"/>
        <w:ind w:left="106" w:right="18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724396pt;margin-top:18.635355pt;width:.1pt;height:.1pt;mso-position-horizontal-relative:page;mso-position-vertical-relative:paragraph;z-index:-4624" coordorigin="7714,373" coordsize="2,2">
            <v:shape style="position:absolute;left:7714;top:373;width:2;height:2" coordorigin="7714,373" coordsize="0,0" path="m7714,373l7714,3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52.543396pt;margin-top:18.635355pt;width:.1pt;height:.1pt;mso-position-horizontal-relative:page;mso-position-vertical-relative:paragraph;z-index:1120" coordorigin="11051,373" coordsize="2,2">
            <v:shape style="position:absolute;left:11051;top:373;width:2;height:2" coordorigin="11051,373" coordsize="0,0" path="m11051,373l11051,37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Regular" w:hAnsi="Theinhardt Regular"/>
          <w:color w:val="231F20"/>
          <w:sz w:val="14"/>
        </w:rPr>
        <w:t>Chemin Château-Bloch 2, 1219 Le Lignon, Genève</w:t>
      </w:r>
      <w:hyperlink r:id="rId5">
        <w:r>
          <w:rPr>
            <w:rFonts w:ascii="Theinhardt Regular" w:hAnsi="Theinhardt Regular"/>
            <w:color w:val="231F20"/>
            <w:sz w:val="14"/>
          </w:rPr>
          <w:t> Tél. 079 137 83 95, sylvain.ledon@sig-ge.ch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pStyle w:val="BodyText"/>
        <w:spacing w:line="146" w:lineRule="exact"/>
        <w:ind w:right="0"/>
        <w:jc w:val="both"/>
      </w:pPr>
      <w:r>
        <w:rPr>
          <w:color w:val="231F20"/>
        </w:rPr>
        <w:t>locataires,</w:t>
      </w:r>
      <w:r>
        <w:rPr>
          <w:color w:val="231F20"/>
          <w:spacing w:val="16"/>
        </w:rPr>
        <w:t> </w:t>
      </w:r>
      <w:r>
        <w:rPr>
          <w:color w:val="231F20"/>
        </w:rPr>
        <w:t>via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plateforme</w:t>
      </w:r>
      <w:r>
        <w:rPr>
          <w:color w:val="231F20"/>
          <w:spacing w:val="16"/>
        </w:rPr>
        <w:t> </w:t>
      </w:r>
      <w:r>
        <w:rPr>
          <w:color w:val="231F20"/>
        </w:rPr>
        <w:t>Activéco</w:t>
      </w:r>
      <w:r>
        <w:rPr>
          <w:color w:val="231F20"/>
          <w:spacing w:val="16"/>
        </w:rPr>
        <w:t> </w:t>
      </w:r>
      <w:r>
        <w:rPr>
          <w:color w:val="231F20"/>
        </w:rPr>
        <w:t>Visio.</w:t>
      </w:r>
      <w:r>
        <w:rPr/>
      </w:r>
    </w:p>
    <w:p>
      <w:pPr>
        <w:pStyle w:val="BodyText"/>
        <w:spacing w:line="232" w:lineRule="auto" w:before="2"/>
        <w:ind w:right="0"/>
        <w:jc w:val="both"/>
      </w:pP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mesures</w:t>
      </w:r>
      <w:r>
        <w:rPr>
          <w:color w:val="231F20"/>
          <w:spacing w:val="-7"/>
        </w:rPr>
        <w:t> </w:t>
      </w:r>
      <w:r>
        <w:rPr>
          <w:color w:val="231F20"/>
        </w:rPr>
        <w:t>englobent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courant,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chauf-</w:t>
      </w:r>
      <w:r>
        <w:rPr>
          <w:color w:val="231F20"/>
          <w:spacing w:val="25"/>
        </w:rPr>
        <w:t> </w:t>
      </w:r>
      <w:r>
        <w:rPr>
          <w:color w:val="231F20"/>
        </w:rPr>
        <w:t>fage et la climatisation du bâtiment.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color w:val="231F20"/>
        </w:rPr>
        <w:t>Le</w:t>
      </w:r>
      <w:r>
        <w:rPr>
          <w:color w:val="231F20"/>
          <w:spacing w:val="14"/>
        </w:rPr>
        <w:t> </w:t>
      </w:r>
      <w:r>
        <w:rPr>
          <w:color w:val="231F20"/>
        </w:rPr>
        <w:t>calcul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consommation</w:t>
      </w:r>
      <w:r>
        <w:rPr>
          <w:color w:val="231F20"/>
          <w:spacing w:val="14"/>
        </w:rPr>
        <w:t> </w:t>
      </w:r>
      <w:r>
        <w:rPr>
          <w:color w:val="231F20"/>
        </w:rPr>
        <w:t>indivi-</w:t>
      </w:r>
      <w:r>
        <w:rPr>
          <w:color w:val="231F20"/>
        </w:rPr>
        <w:t> duelle</w:t>
      </w:r>
      <w:r>
        <w:rPr>
          <w:color w:val="231F20"/>
          <w:spacing w:val="7"/>
        </w:rPr>
        <w:t> </w:t>
      </w:r>
      <w:r>
        <w:rPr>
          <w:color w:val="231F20"/>
        </w:rPr>
        <w:t>est</w:t>
      </w:r>
      <w:r>
        <w:rPr>
          <w:color w:val="231F20"/>
          <w:spacing w:val="7"/>
        </w:rPr>
        <w:t> </w:t>
      </w:r>
      <w:r>
        <w:rPr>
          <w:color w:val="231F20"/>
        </w:rPr>
        <w:t>souvent</w:t>
      </w:r>
      <w:r>
        <w:rPr>
          <w:color w:val="231F20"/>
          <w:spacing w:val="7"/>
        </w:rPr>
        <w:t> </w:t>
      </w:r>
      <w:r>
        <w:rPr>
          <w:color w:val="231F20"/>
        </w:rPr>
        <w:t>compliqué,</w:t>
      </w:r>
      <w:r>
        <w:rPr>
          <w:color w:val="231F20"/>
          <w:spacing w:val="7"/>
        </w:rPr>
        <w:t> </w:t>
      </w:r>
      <w:r>
        <w:rPr>
          <w:color w:val="231F20"/>
        </w:rPr>
        <w:t>donc</w:t>
      </w:r>
      <w:r>
        <w:rPr>
          <w:color w:val="231F20"/>
        </w:rPr>
        <w:t> considéré</w:t>
      </w:r>
      <w:r>
        <w:rPr>
          <w:color w:val="231F20"/>
          <w:spacing w:val="31"/>
        </w:rPr>
        <w:t> </w:t>
      </w:r>
      <w:r>
        <w:rPr>
          <w:color w:val="231F20"/>
        </w:rPr>
        <w:t>comme</w:t>
      </w:r>
      <w:r>
        <w:rPr>
          <w:color w:val="231F20"/>
          <w:spacing w:val="32"/>
        </w:rPr>
        <w:t> </w:t>
      </w:r>
      <w:r>
        <w:rPr>
          <w:color w:val="231F20"/>
        </w:rPr>
        <w:t>trop</w:t>
      </w:r>
      <w:r>
        <w:rPr>
          <w:color w:val="231F20"/>
          <w:spacing w:val="31"/>
        </w:rPr>
        <w:t> </w:t>
      </w:r>
      <w:r>
        <w:rPr>
          <w:color w:val="231F20"/>
        </w:rPr>
        <w:t>onéreux.</w:t>
      </w:r>
      <w:r>
        <w:rPr>
          <w:color w:val="231F20"/>
          <w:spacing w:val="32"/>
        </w:rPr>
        <w:t> </w:t>
      </w:r>
      <w:r>
        <w:rPr>
          <w:color w:val="231F20"/>
        </w:rPr>
        <w:t>Le</w:t>
      </w:r>
      <w:r>
        <w:rPr>
          <w:color w:val="231F20"/>
          <w:spacing w:val="32"/>
        </w:rPr>
        <w:t> </w:t>
      </w:r>
      <w:r>
        <w:rPr>
          <w:color w:val="231F20"/>
        </w:rPr>
        <w:t>projet</w:t>
      </w:r>
      <w:r>
        <w:rPr>
          <w:color w:val="231F20"/>
        </w:rPr>
        <w:t> des SIG  montre que l’autoconsommation est</w:t>
      </w:r>
      <w:r>
        <w:rPr>
          <w:color w:val="231F20"/>
          <w:spacing w:val="9"/>
        </w:rPr>
        <w:t> </w:t>
      </w:r>
      <w:r>
        <w:rPr>
          <w:color w:val="231F20"/>
        </w:rPr>
        <w:t>possible</w:t>
      </w:r>
      <w:r>
        <w:rPr>
          <w:color w:val="231F20"/>
          <w:spacing w:val="9"/>
        </w:rPr>
        <w:t> </w:t>
      </w:r>
      <w:r>
        <w:rPr>
          <w:color w:val="231F20"/>
        </w:rPr>
        <w:t>aussi</w:t>
      </w:r>
      <w:r>
        <w:rPr>
          <w:color w:val="231F20"/>
          <w:spacing w:val="9"/>
        </w:rPr>
        <w:t> </w:t>
      </w:r>
      <w:r>
        <w:rPr>
          <w:color w:val="231F20"/>
        </w:rPr>
        <w:t>dans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contexte</w:t>
      </w:r>
      <w:r>
        <w:rPr>
          <w:color w:val="231F20"/>
          <w:spacing w:val="9"/>
        </w:rPr>
        <w:t> </w:t>
      </w:r>
      <w:r>
        <w:rPr>
          <w:color w:val="231F20"/>
        </w:rPr>
        <w:t>locatif.</w:t>
      </w:r>
      <w:r>
        <w:rPr>
          <w:color w:val="231F20"/>
        </w:rPr>
        <w:t> Ce</w:t>
      </w:r>
      <w:r>
        <w:rPr>
          <w:color w:val="231F20"/>
          <w:spacing w:val="-13"/>
        </w:rPr>
        <w:t> </w:t>
      </w:r>
      <w:r>
        <w:rPr>
          <w:color w:val="231F20"/>
        </w:rPr>
        <w:t>projet</w:t>
      </w:r>
      <w:r>
        <w:rPr>
          <w:color w:val="231F20"/>
          <w:spacing w:val="-13"/>
        </w:rPr>
        <w:t> </w:t>
      </w:r>
      <w:r>
        <w:rPr>
          <w:color w:val="231F20"/>
        </w:rPr>
        <w:t>illustre</w:t>
      </w:r>
      <w:r>
        <w:rPr>
          <w:color w:val="231F20"/>
          <w:spacing w:val="-13"/>
        </w:rPr>
        <w:t> </w:t>
      </w:r>
      <w:r>
        <w:rPr>
          <w:color w:val="231F20"/>
        </w:rPr>
        <w:t>l’esprit</w:t>
      </w:r>
      <w:r>
        <w:rPr>
          <w:color w:val="231F20"/>
          <w:spacing w:val="-13"/>
        </w:rPr>
        <w:t> </w:t>
      </w:r>
      <w:r>
        <w:rPr>
          <w:color w:val="231F20"/>
        </w:rPr>
        <w:t>d’innovation</w:t>
      </w:r>
      <w:r>
        <w:rPr>
          <w:color w:val="231F20"/>
          <w:spacing w:val="-13"/>
        </w:rPr>
        <w:t> </w:t>
      </w:r>
      <w:r>
        <w:rPr>
          <w:color w:val="231F20"/>
        </w:rPr>
        <w:t>qui</w:t>
      </w:r>
      <w:r>
        <w:rPr>
          <w:color w:val="231F20"/>
          <w:spacing w:val="-13"/>
        </w:rPr>
        <w:t> </w:t>
      </w:r>
      <w:r>
        <w:rPr>
          <w:color w:val="231F20"/>
        </w:rPr>
        <w:t>dé-</w:t>
      </w:r>
      <w:r>
        <w:rPr>
          <w:color w:val="231F20"/>
        </w:rPr>
        <w:t> finit</w:t>
      </w:r>
      <w:r>
        <w:rPr>
          <w:color w:val="231F20"/>
          <w:spacing w:val="2"/>
        </w:rPr>
        <w:t> </w:t>
      </w:r>
      <w:r>
        <w:rPr>
          <w:color w:val="231F20"/>
        </w:rPr>
        <w:t>SIG</w:t>
      </w:r>
      <w:r>
        <w:rPr>
          <w:color w:val="231F20"/>
          <w:spacing w:val="2"/>
        </w:rPr>
        <w:t> </w:t>
      </w:r>
      <w:r>
        <w:rPr>
          <w:color w:val="231F20"/>
        </w:rPr>
        <w:t>depuis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nombreuses</w:t>
      </w:r>
      <w:r>
        <w:rPr>
          <w:color w:val="231F20"/>
          <w:spacing w:val="2"/>
        </w:rPr>
        <w:t> </w:t>
      </w:r>
      <w:r>
        <w:rPr>
          <w:color w:val="231F20"/>
        </w:rPr>
        <w:t>années.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</w:rPr>
        <w:t> 2015, la société occupait la première place du</w:t>
      </w:r>
      <w:r>
        <w:rPr>
          <w:color w:val="231F20"/>
          <w:spacing w:val="-6"/>
        </w:rPr>
        <w:t> </w:t>
      </w:r>
      <w:r>
        <w:rPr>
          <w:color w:val="231F20"/>
        </w:rPr>
        <w:t>classement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tournant</w:t>
      </w:r>
      <w:r>
        <w:rPr>
          <w:color w:val="231F20"/>
          <w:spacing w:val="-6"/>
        </w:rPr>
        <w:t> </w:t>
      </w:r>
      <w:r>
        <w:rPr>
          <w:color w:val="231F20"/>
        </w:rPr>
        <w:t>énergétique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publié</w:t>
      </w:r>
      <w:r>
        <w:rPr>
          <w:color w:val="231F20"/>
          <w:spacing w:val="11"/>
        </w:rPr>
        <w:t> </w:t>
      </w:r>
      <w:r>
        <w:rPr>
          <w:color w:val="231F20"/>
        </w:rPr>
        <w:t>par</w:t>
      </w:r>
      <w:r>
        <w:rPr>
          <w:color w:val="231F20"/>
          <w:spacing w:val="11"/>
        </w:rPr>
        <w:t> </w:t>
      </w:r>
      <w:r>
        <w:rPr>
          <w:color w:val="231F20"/>
        </w:rPr>
        <w:t>l’OFEN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des</w:t>
      </w:r>
      <w:r>
        <w:rPr>
          <w:color w:val="231F20"/>
          <w:spacing w:val="11"/>
        </w:rPr>
        <w:t> </w:t>
      </w:r>
      <w:r>
        <w:rPr>
          <w:color w:val="231F20"/>
        </w:rPr>
        <w:t>fournisseurs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</w:rPr>
        <w:t> courant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vue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l’efficacité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</w:rPr>
        <w:t> la production d’énergies renouvelables.</w:t>
      </w:r>
      <w:r>
        <w:rPr/>
      </w:r>
    </w:p>
    <w:p>
      <w:pPr>
        <w:tabs>
          <w:tab w:pos="7010" w:val="left" w:leader="none"/>
        </w:tabs>
        <w:spacing w:line="146" w:lineRule="exact" w:before="0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/>
          <w:i/>
          <w:color w:val="231F20"/>
          <w:sz w:val="18"/>
        </w:rPr>
        <w:t>Eigenverbrauchs</w:t>
      </w:r>
      <w:r>
        <w:rPr>
          <w:rFonts w:asci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/>
          <w:i/>
          <w:color w:val="231F20"/>
          <w:sz w:val="18"/>
        </w:rPr>
        <w:t>sowie</w:t>
      </w:r>
      <w:r>
        <w:rPr>
          <w:rFonts w:asci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/>
          <w:i/>
          <w:color w:val="231F20"/>
          <w:sz w:val="18"/>
        </w:rPr>
        <w:t>die</w:t>
      </w:r>
      <w:r>
        <w:rPr>
          <w:rFonts w:asci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/>
          <w:i/>
          <w:color w:val="231F20"/>
          <w:sz w:val="18"/>
        </w:rPr>
        <w:t>genaue</w:t>
      </w:r>
      <w:r>
        <w:rPr>
          <w:rFonts w:asci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/>
          <w:i/>
          <w:color w:val="231F20"/>
          <w:spacing w:val="-1"/>
          <w:sz w:val="18"/>
        </w:rPr>
        <w:t>Abrech-</w:t>
      </w:r>
      <w:r>
        <w:rPr>
          <w:rFonts w:ascii="Theinhardt Regular Italic"/>
          <w:i/>
          <w:color w:val="231F20"/>
          <w:sz w:val="18"/>
        </w:rPr>
        <w:t>    </w:t>
      </w:r>
      <w:r>
        <w:rPr>
          <w:rFonts w:ascii="Theinhardt Regular Italic"/>
          <w:i/>
          <w:color w:val="231F20"/>
          <w:spacing w:val="5"/>
          <w:sz w:val="18"/>
        </w:rPr>
        <w:t> </w:t>
      </w:r>
      <w:r>
        <w:rPr>
          <w:rFonts w:ascii="Theinhardt Regular Italic"/>
          <w:i/>
          <w:color w:val="231F20"/>
          <w:sz w:val="18"/>
          <w:u w:val="dotted" w:color="231F20"/>
        </w:rPr>
        <w:t> </w:t>
        <w:tab/>
      </w:r>
      <w:r>
        <w:rPr>
          <w:rFonts w:ascii="Theinhardt Regular Italic"/>
          <w:i/>
          <w:color w:val="231F20"/>
          <w:sz w:val="18"/>
        </w:rPr>
      </w:r>
      <w:r>
        <w:rPr>
          <w:rFonts w:ascii="Theinhardt Regular Italic"/>
          <w:sz w:val="18"/>
        </w:rPr>
      </w:r>
    </w:p>
    <w:p>
      <w:pPr>
        <w:spacing w:line="232" w:lineRule="auto" w:before="2"/>
        <w:ind w:left="106" w:right="3681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color w:val="231F20"/>
          <w:sz w:val="18"/>
        </w:rPr>
        <w:t>nung</w:t>
      </w:r>
      <w:r>
        <w:rPr>
          <w:rFonts w:ascii="Theinhardt Regular Italic" w:hAns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des</w:t>
      </w:r>
      <w:r>
        <w:rPr>
          <w:rFonts w:ascii="Theinhardt Regular Italic" w:hAns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Energieverbrauchs</w:t>
      </w:r>
      <w:r>
        <w:rPr>
          <w:rFonts w:ascii="Theinhardt Regular Italic" w:hAns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13</w:t>
      </w:r>
      <w:r>
        <w:rPr>
          <w:rFonts w:ascii="Theinhardt Regular Italic" w:hAnsi="Theinhardt Regular Italic"/>
          <w:i/>
          <w:color w:val="231F20"/>
          <w:spacing w:val="18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einge-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mieteten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Firmen.</w:t>
      </w:r>
      <w:r>
        <w:rPr>
          <w:rFonts w:ascii="Theinhardt Regular Italic" w:hAnsi="Theinhardt Regular Italic"/>
          <w:i/>
          <w:color w:val="231F20"/>
          <w:spacing w:val="3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Messungen</w:t>
      </w:r>
      <w:r>
        <w:rPr>
          <w:rFonts w:ascii="Theinhardt Regular Italic" w:hAnsi="Theinhardt Regular Italic"/>
          <w:i/>
          <w:color w:val="231F20"/>
          <w:spacing w:val="3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erfolgen</w:t>
      </w:r>
      <w:r>
        <w:rPr>
          <w:rFonts w:ascii="Theinhardt Regular Italic" w:hAnsi="Theinhardt Regular Italic"/>
          <w:i/>
          <w:color w:val="231F20"/>
          <w:sz w:val="18"/>
        </w:rPr>
        <w:t> für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den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Strom,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Heizung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und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8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Klimati-</w:t>
      </w:r>
      <w:r>
        <w:rPr>
          <w:rFonts w:ascii="Theinhardt Regular Italic" w:hAnsi="Theinhardt Regular Italic"/>
          <w:i/>
          <w:color w:val="231F20"/>
          <w:sz w:val="18"/>
        </w:rPr>
        <w:t> sierung des Gebäudes.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0"/>
        <w:ind w:left="106" w:right="3679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Eigenverbrauch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ist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oft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kompliziert</w:t>
      </w:r>
      <w:r>
        <w:rPr>
          <w:rFonts w:ascii="Theinhardt Regular Italic" w:hAnsi="Theinhardt Regular Italic"/>
          <w:i/>
          <w:color w:val="231F20"/>
          <w:spacing w:val="-1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und</w:t>
      </w:r>
      <w:r>
        <w:rPr>
          <w:rFonts w:ascii="Theinhardt Regular Italic" w:hAnsi="Theinhardt Regular Italic"/>
          <w:i/>
          <w:color w:val="231F20"/>
          <w:sz w:val="18"/>
        </w:rPr>
        <w:t> wird</w:t>
      </w:r>
      <w:r>
        <w:rPr>
          <w:rFonts w:ascii="Theinhardt Regular Italic" w:hAnsi="Theinhardt Regular Italic"/>
          <w:i/>
          <w:color w:val="231F20"/>
          <w:spacing w:val="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deshalb</w:t>
      </w:r>
      <w:r>
        <w:rPr>
          <w:rFonts w:ascii="Theinhardt Regular Italic" w:hAnsi="Theinhardt Regular Italic"/>
          <w:i/>
          <w:color w:val="231F20"/>
          <w:spacing w:val="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als</w:t>
      </w:r>
      <w:r>
        <w:rPr>
          <w:rFonts w:ascii="Theinhardt Regular Italic" w:hAnsi="Theinhardt Regular Italic"/>
          <w:i/>
          <w:color w:val="231F20"/>
          <w:spacing w:val="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zu</w:t>
      </w:r>
      <w:r>
        <w:rPr>
          <w:rFonts w:ascii="Theinhardt Regular Italic" w:hAnsi="Theinhardt Regular Italic"/>
          <w:i/>
          <w:color w:val="231F20"/>
          <w:spacing w:val="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teuer</w:t>
      </w:r>
      <w:r>
        <w:rPr>
          <w:rFonts w:ascii="Theinhardt Regular Italic" w:hAnsi="Theinhardt Regular Italic"/>
          <w:i/>
          <w:color w:val="231F20"/>
          <w:spacing w:val="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betrachtet.</w:t>
      </w:r>
      <w:r>
        <w:rPr>
          <w:rFonts w:ascii="Theinhardt Regular Italic" w:hAnsi="Theinhardt Regular Italic"/>
          <w:i/>
          <w:color w:val="231F20"/>
          <w:spacing w:val="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Dieses</w:t>
      </w:r>
      <w:r>
        <w:rPr>
          <w:rFonts w:ascii="Theinhardt Regular Italic" w:hAnsi="Theinhardt Regular Italic"/>
          <w:i/>
          <w:color w:val="231F20"/>
          <w:sz w:val="18"/>
        </w:rPr>
        <w:t> SIG-Projekt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zeigt,</w:t>
      </w:r>
      <w:r>
        <w:rPr>
          <w:rFonts w:ascii="Theinhardt Regular Italic" w:hAnsi="Theinhardt Regular Italic"/>
          <w:i/>
          <w:color w:val="231F20"/>
          <w:spacing w:val="2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dass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2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Eigenverbrauch</w:t>
      </w:r>
      <w:r>
        <w:rPr>
          <w:rFonts w:ascii="Theinhardt Regular Italic" w:hAnsi="Theinhardt Regular Italic"/>
          <w:i/>
          <w:color w:val="231F20"/>
          <w:sz w:val="18"/>
        </w:rPr>
        <w:t> selbst</w:t>
      </w:r>
      <w:r>
        <w:rPr>
          <w:rFonts w:ascii="Theinhardt Regular Italic" w:hAnsi="Theinhardt Regular Italic"/>
          <w:i/>
          <w:color w:val="231F20"/>
          <w:spacing w:val="3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in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einem</w:t>
      </w:r>
      <w:r>
        <w:rPr>
          <w:rFonts w:ascii="Theinhardt Regular Italic" w:hAnsi="Theinhardt Regular Italic"/>
          <w:i/>
          <w:color w:val="231F20"/>
          <w:spacing w:val="3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Mietverhältnis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möglich</w:t>
      </w:r>
      <w:r>
        <w:rPr>
          <w:rFonts w:ascii="Theinhardt Regular Italic" w:hAnsi="Theinhardt Regular Italic"/>
          <w:i/>
          <w:color w:val="231F20"/>
          <w:spacing w:val="3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ist.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Das</w:t>
      </w:r>
      <w:r>
        <w:rPr>
          <w:rFonts w:ascii="Theinhardt Regular Italic" w:hAnsi="Theinhardt Regular Italic"/>
          <w:i/>
          <w:color w:val="231F20"/>
          <w:spacing w:val="4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Projekt</w:t>
      </w:r>
      <w:r>
        <w:rPr>
          <w:rFonts w:ascii="Theinhardt Regular Italic" w:hAnsi="Theinhardt Regular Italic"/>
          <w:i/>
          <w:color w:val="231F20"/>
          <w:spacing w:val="4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beweist</w:t>
      </w:r>
      <w:r>
        <w:rPr>
          <w:rFonts w:ascii="Theinhardt Regular Italic" w:hAnsi="Theinhardt Regular Italic"/>
          <w:i/>
          <w:color w:val="231F20"/>
          <w:spacing w:val="4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den</w:t>
      </w:r>
      <w:r>
        <w:rPr>
          <w:rFonts w:ascii="Theinhardt Regular Italic" w:hAnsi="Theinhardt Regular Italic"/>
          <w:i/>
          <w:color w:val="231F20"/>
          <w:spacing w:val="4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Innovationsgeist,</w:t>
      </w:r>
      <w:r>
        <w:rPr>
          <w:rFonts w:ascii="Theinhardt Regular Italic" w:hAnsi="Theinhardt Regular Italic"/>
          <w:i/>
          <w:color w:val="231F20"/>
          <w:sz w:val="18"/>
        </w:rPr>
        <w:t> der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2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SIG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seit</w:t>
      </w:r>
      <w:r>
        <w:rPr>
          <w:rFonts w:ascii="Theinhardt Regular Italic" w:hAnsi="Theinhardt Regular Italic"/>
          <w:i/>
          <w:color w:val="231F20"/>
          <w:spacing w:val="2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vielen</w:t>
      </w:r>
      <w:r>
        <w:rPr>
          <w:rFonts w:ascii="Theinhardt Regular Italic" w:hAnsi="Theinhardt Regular Italic"/>
          <w:i/>
          <w:color w:val="231F20"/>
          <w:spacing w:val="26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Jahren</w:t>
      </w:r>
      <w:r>
        <w:rPr>
          <w:rFonts w:ascii="Theinhardt Regular Italic" w:hAnsi="Theinhardt Regular Italic"/>
          <w:i/>
          <w:color w:val="231F20"/>
          <w:spacing w:val="2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auszeichnet.</w:t>
      </w:r>
      <w:r>
        <w:rPr>
          <w:rFonts w:ascii="Theinhardt Regular Italic" w:hAnsi="Theinhardt Regular Italic"/>
          <w:i/>
          <w:color w:val="231F20"/>
          <w:sz w:val="18"/>
        </w:rPr>
        <w:t> 2015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führte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die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SIG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eine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vom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BFE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publizier-</w:t>
      </w:r>
      <w:r>
        <w:rPr>
          <w:rFonts w:ascii="Theinhardt Regular Italic" w:hAnsi="Theinhardt Regular Italic"/>
          <w:i/>
          <w:color w:val="231F20"/>
          <w:spacing w:val="29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te</w:t>
      </w:r>
      <w:r>
        <w:rPr>
          <w:rFonts w:ascii="Theinhardt Regular Italic" w:hAnsi="Theinhardt Regular Italic"/>
          <w:i/>
          <w:color w:val="231F20"/>
          <w:spacing w:val="1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Rangliste</w:t>
      </w:r>
      <w:r>
        <w:rPr>
          <w:rFonts w:ascii="Theinhardt Regular Italic" w:hAnsi="Theinhardt Regular Italic"/>
          <w:i/>
          <w:color w:val="231F20"/>
          <w:spacing w:val="1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von</w:t>
      </w:r>
      <w:r>
        <w:rPr>
          <w:rFonts w:ascii="Theinhardt Regular Italic" w:hAnsi="Theinhardt Regular Italic"/>
          <w:i/>
          <w:color w:val="231F20"/>
          <w:spacing w:val="1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Stromlieferanten</w:t>
      </w:r>
      <w:r>
        <w:rPr>
          <w:rFonts w:ascii="Theinhardt Regular Italic" w:hAnsi="Theinhardt Regular Italic"/>
          <w:i/>
          <w:color w:val="231F20"/>
          <w:spacing w:val="12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bezüglich</w:t>
      </w:r>
      <w:r>
        <w:rPr>
          <w:rFonts w:ascii="Theinhardt Regular Italic" w:hAnsi="Theinhardt Regular Italic"/>
          <w:i/>
          <w:color w:val="231F20"/>
          <w:sz w:val="18"/>
        </w:rPr>
        <w:t> Energieeffizienz</w:t>
      </w:r>
      <w:r>
        <w:rPr>
          <w:rFonts w:ascii="Theinhardt Regular Italic" w:hAnsi="Theinhardt Regular Italic"/>
          <w:i/>
          <w:color w:val="231F20"/>
          <w:spacing w:val="10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und</w:t>
      </w:r>
      <w:r>
        <w:rPr>
          <w:rFonts w:ascii="Theinhardt Regular Italic" w:hAnsi="Theinhardt Regular Italic"/>
          <w:i/>
          <w:color w:val="231F20"/>
          <w:spacing w:val="10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Produktion</w:t>
      </w:r>
      <w:r>
        <w:rPr>
          <w:rFonts w:ascii="Theinhardt Regular Italic" w:hAnsi="Theinhardt Regular Italic"/>
          <w:i/>
          <w:color w:val="231F20"/>
          <w:spacing w:val="11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erneuerba-</w:t>
      </w:r>
      <w:r>
        <w:rPr>
          <w:rFonts w:ascii="Theinhardt Regular Italic" w:hAnsi="Theinhardt Regular Italic"/>
          <w:i/>
          <w:color w:val="231F20"/>
          <w:spacing w:val="29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rer Energien in der Energiewende an.</w:t>
      </w:r>
      <w:r>
        <w:rPr>
          <w:rFonts w:ascii="Theinhardt Regular Italic" w:hAnsi="Theinhardt Regular Italic"/>
          <w:sz w:val="18"/>
        </w:rPr>
      </w:r>
    </w:p>
    <w:p>
      <w:pPr>
        <w:spacing w:after="0" w:line="232" w:lineRule="auto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3452" w:space="119"/>
            <w:col w:w="7139"/>
          </w:cols>
        </w:sect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5"/>
        <w:rPr>
          <w:rFonts w:ascii="Theinhardt Regular Italic" w:hAnsi="Theinhardt Regular Italic" w:cs="Theinhardt Regular Italic" w:eastAsia="Theinhardt Regular Italic"/>
          <w:i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4955" cy="33101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955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587982" cy="387238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982" cy="387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8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photovoltaïque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orientée est-ouest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avec une puissance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353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et d’une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taille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2’200 m</w:t>
      </w:r>
      <w:r>
        <w:rPr>
          <w:rFonts w:ascii="Theinhardt Bold" w:hAnsi="Theinhardt Bold" w:cs="Theinhardt Bold" w:eastAsia="Theinhardt Bold"/>
          <w:b/>
          <w:bCs/>
          <w:color w:val="231F20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produit 370’000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4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45%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l’énergie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produite est autoconsommée,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reste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est injecté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réseau.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58" w:space="214"/>
            <w:col w:w="713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ylvain.ledon@sig-ge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2017-09-20T17:09:53Z</dcterms:created>
  <dcterms:modified xsi:type="dcterms:W3CDTF">2017-09-20T17:09:53Z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