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546" w:val="left" w:leader="none"/>
        </w:tabs>
        <w:spacing w:line="230" w:lineRule="exact"/>
        <w:ind w:right="0"/>
        <w:jc w:val="left"/>
        <w:rPr>
          <w:rFonts w:ascii="Theinhardt Heavy" w:hAnsi="Theinhardt Heavy" w:cs="Theinhardt Heavy" w:eastAsia="Theinhardt Heavy"/>
          <w:b w:val="0"/>
          <w:bCs w:val="0"/>
        </w:rPr>
      </w:pPr>
      <w:r>
        <w:rPr/>
        <w:pict>
          <v:group style="position:absolute;margin-left:28.559pt;margin-top:13.647203pt;width:.1pt;height:.1pt;mso-position-horizontal-relative:page;mso-position-vertical-relative:paragraph;z-index:-5536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203pt;width:.1pt;height:.1pt;mso-position-horizontal-relative:page;mso-position-vertical-relative:paragraph;z-index:1192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 w:hAnsi="Theinhardt Heavy"/>
          <w:b/>
          <w:color w:val="231F20"/>
        </w:rPr>
      </w:r>
      <w:r>
        <w:rPr>
          <w:rFonts w:ascii="Theinhardt Heavy" w:hAnsi="Theinhardt Heavy"/>
          <w:b/>
          <w:color w:val="231F20"/>
          <w:u w:val="dotted" w:color="231F20"/>
        </w:rPr>
        <w:t>Catégorie A</w:t>
      </w:r>
      <w:r>
        <w:rPr>
          <w:rFonts w:ascii="Theinhardt Heavy" w:hAnsi="Theinhardt Heavy"/>
          <w:b/>
          <w:color w:val="231F20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</w:rPr>
      </w:r>
      <w:r>
        <w:rPr>
          <w:rFonts w:ascii="Theinhardt Heavy" w:hAnsi="Theinhardt Heavy"/>
          <w:b/>
          <w:color w:val="231F20"/>
          <w:spacing w:val="26"/>
        </w:rPr>
        <w:t> </w:t>
      </w:r>
      <w:r>
        <w:rPr>
          <w:rFonts w:ascii="Theinhardt Heavy" w:hAnsi="Theinhardt Heavy"/>
          <w:b/>
          <w:color w:val="231F20"/>
        </w:rPr>
        <w:t>Institutions</w:t>
      </w:r>
      <w:r>
        <w:rPr>
          <w:rFonts w:ascii="Theinhardt Heavy" w:hAnsi="Theinhardt Heavy"/>
          <w:b w:val="0"/>
        </w:rPr>
      </w:r>
    </w:p>
    <w:p>
      <w:pPr>
        <w:spacing w:line="20" w:lineRule="atLeast"/>
        <w:ind w:left="106" w:right="0" w:firstLine="0"/>
        <w:rPr>
          <w:rFonts w:ascii="Theinhardt Heavy" w:hAnsi="Theinhardt Heavy" w:cs="Theinhardt Heavy" w:eastAsia="Theinhardt Heavy"/>
          <w:sz w:val="2"/>
          <w:szCs w:val="2"/>
        </w:rPr>
      </w:pPr>
      <w:r>
        <w:rPr>
          <w:rFonts w:ascii="Theinhardt Heavy" w:hAnsi="Theinhardt Heavy" w:cs="Theinhardt Heavy" w:eastAsia="Theinhardt Heavy"/>
          <w:sz w:val="2"/>
          <w:szCs w:val="2"/>
        </w:rPr>
        <w:pict>
          <v:group style="width:122.6pt;height:.45pt;mso-position-horizontal-relative:char;mso-position-vertical-relative:line" coordorigin="0,0" coordsize="2452,9">
            <v:group style="position:absolute;left:21;top:4;width:2418;height:2" coordorigin="21,4" coordsize="2418,2">
              <v:shape style="position:absolute;left:21;top:4;width:2418;height:2" coordorigin="21,4" coordsize="2418,0" path="m21,4l2439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2448;top:4;width:2;height:2" coordorigin="2448,4" coordsize="2,2">
              <v:shape style="position:absolute;left:2448;top:4;width:2;height:2" coordorigin="2448,4" coordsize="0,0" path="m2448,4l2448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Heavy" w:hAnsi="Theinhardt Heavy" w:cs="Theinhardt Heavy" w:eastAsia="Theinhardt Heavy"/>
          <w:sz w:val="2"/>
          <w:szCs w:val="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  <w:spacing w:val="-1"/>
        </w:rPr>
        <w:t>Prix</w:t>
      </w:r>
      <w:r>
        <w:rPr>
          <w:color w:val="231F20"/>
        </w:rPr>
        <w:t> </w:t>
      </w:r>
      <w:r>
        <w:rPr>
          <w:color w:val="231F20"/>
          <w:spacing w:val="-1"/>
        </w:rPr>
        <w:t>Solaire</w:t>
      </w:r>
      <w:r>
        <w:rPr>
          <w:color w:val="231F20"/>
        </w:rPr>
        <w:t> </w:t>
      </w:r>
      <w:r>
        <w:rPr>
          <w:color w:val="231F20"/>
          <w:spacing w:val="-1"/>
        </w:rPr>
        <w:t>Suisse</w:t>
      </w:r>
      <w:r>
        <w:rPr>
          <w:color w:val="231F20"/>
        </w:rPr>
        <w:t> 2017</w:t>
      </w:r>
      <w:r>
        <w:rPr/>
      </w:r>
    </w:p>
    <w:p>
      <w:pPr>
        <w:pStyle w:val="Heading1"/>
        <w:spacing w:line="230" w:lineRule="exact"/>
        <w:ind w:right="108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231F20"/>
          <w:spacing w:val="-1"/>
        </w:rPr>
        <w:t>Détenue</w:t>
      </w:r>
      <w:r>
        <w:rPr>
          <w:color w:val="231F20"/>
          <w:spacing w:val="5"/>
        </w:rPr>
        <w:t> </w:t>
      </w:r>
      <w:r>
        <w:rPr>
          <w:color w:val="231F20"/>
        </w:rPr>
        <w:t>à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100%</w:t>
      </w:r>
      <w:r>
        <w:rPr>
          <w:color w:val="231F20"/>
          <w:spacing w:val="6"/>
        </w:rPr>
        <w:t> </w:t>
      </w:r>
      <w:r>
        <w:rPr>
          <w:color w:val="231F20"/>
        </w:rPr>
        <w:t>par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Ville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Lausanne,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société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SI-REN</w:t>
      </w:r>
      <w:r>
        <w:rPr>
          <w:color w:val="231F20"/>
          <w:spacing w:val="6"/>
        </w:rPr>
        <w:t> </w:t>
      </w:r>
      <w:r>
        <w:rPr>
          <w:color w:val="231F20"/>
        </w:rPr>
        <w:t>SA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s’est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fixée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pour</w:t>
      </w:r>
      <w:r>
        <w:rPr>
          <w:color w:val="231F20"/>
          <w:spacing w:val="6"/>
        </w:rPr>
        <w:t> </w:t>
      </w:r>
      <w:r>
        <w:rPr>
          <w:color w:val="231F20"/>
        </w:rPr>
        <w:t>objectif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pro-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duire</w:t>
      </w:r>
      <w:r>
        <w:rPr>
          <w:color w:val="231F20"/>
        </w:rPr>
        <w:t> </w:t>
      </w:r>
      <w:r>
        <w:rPr>
          <w:color w:val="231F20"/>
          <w:spacing w:val="-1"/>
        </w:rPr>
        <w:t>100</w:t>
      </w:r>
      <w:r>
        <w:rPr>
          <w:color w:val="231F20"/>
        </w:rPr>
        <w:t> </w:t>
      </w:r>
      <w:r>
        <w:rPr>
          <w:color w:val="231F20"/>
          <w:spacing w:val="-4"/>
        </w:rPr>
        <w:t>GWh/a</w:t>
      </w:r>
      <w:r>
        <w:rPr>
          <w:color w:val="231F20"/>
        </w:rPr>
        <w:t> </w:t>
      </w:r>
      <w:r>
        <w:rPr>
          <w:color w:val="231F20"/>
          <w:spacing w:val="-1"/>
        </w:rPr>
        <w:t>issus</w:t>
      </w:r>
      <w:r>
        <w:rPr>
          <w:color w:val="231F20"/>
        </w:rPr>
        <w:t> </w:t>
      </w:r>
      <w:r>
        <w:rPr>
          <w:color w:val="231F20"/>
          <w:spacing w:val="-2"/>
        </w:rPr>
        <w:t>d’énergies</w:t>
      </w:r>
      <w:r>
        <w:rPr>
          <w:color w:val="231F20"/>
        </w:rPr>
        <w:t> </w:t>
      </w:r>
      <w:r>
        <w:rPr>
          <w:color w:val="231F20"/>
          <w:spacing w:val="-1"/>
        </w:rPr>
        <w:t>renouvelables</w:t>
      </w:r>
      <w:r>
        <w:rPr>
          <w:color w:val="231F20"/>
        </w:rPr>
        <w:t> </w:t>
      </w:r>
      <w:r>
        <w:rPr>
          <w:color w:val="231F20"/>
          <w:spacing w:val="-1"/>
        </w:rPr>
        <w:t>comme</w:t>
      </w:r>
      <w:r>
        <w:rPr>
          <w:color w:val="231F20"/>
        </w:rPr>
        <w:t> </w:t>
      </w:r>
      <w:r>
        <w:rPr>
          <w:color w:val="231F20"/>
          <w:spacing w:val="-1"/>
        </w:rPr>
        <w:t>le</w:t>
      </w:r>
      <w:r>
        <w:rPr>
          <w:color w:val="231F20"/>
        </w:rPr>
        <w:t> </w:t>
      </w:r>
      <w:r>
        <w:rPr>
          <w:color w:val="231F20"/>
          <w:spacing w:val="-1"/>
        </w:rPr>
        <w:t>photovoltaïque,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l’éolien,</w:t>
      </w:r>
      <w:r>
        <w:rPr>
          <w:color w:val="231F20"/>
          <w:spacing w:val="-7"/>
        </w:rPr>
        <w:t> </w:t>
      </w:r>
      <w:r>
        <w:rPr>
          <w:color w:val="231F20"/>
        </w:rPr>
        <w:t>la </w:t>
      </w:r>
      <w:r>
        <w:rPr>
          <w:color w:val="231F20"/>
          <w:spacing w:val="-2"/>
        </w:rPr>
        <w:t>biomasse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géothermie.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Jusqu’en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2016,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36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installations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ont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été</w:t>
      </w:r>
      <w:r>
        <w:rPr>
          <w:color w:val="231F20"/>
          <w:spacing w:val="3"/>
        </w:rPr>
        <w:t> </w:t>
      </w:r>
      <w:r>
        <w:rPr>
          <w:color w:val="231F20"/>
        </w:rPr>
        <w:t>placées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toiture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collèges,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ent-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reprises,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bâtiments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sportifs,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commerciaux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administratifs.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Une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installation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fournit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moyenne</w:t>
      </w:r>
      <w:r>
        <w:rPr>
          <w:color w:val="231F20"/>
          <w:spacing w:val="64"/>
        </w:rPr>
        <w:t> </w:t>
      </w:r>
      <w:r>
        <w:rPr>
          <w:color w:val="231F20"/>
          <w:spacing w:val="-1"/>
        </w:rPr>
        <w:t>220’000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kWh/a,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soit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environ</w:t>
      </w:r>
      <w:r>
        <w:rPr>
          <w:color w:val="231F20"/>
          <w:spacing w:val="-10"/>
        </w:rPr>
        <w:t> </w:t>
      </w:r>
      <w:r>
        <w:rPr>
          <w:color w:val="231F20"/>
        </w:rPr>
        <w:t>8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GWh/a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pour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toute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l’infrastructure.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Actuellement,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37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autres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projets</w:t>
      </w:r>
      <w:r>
        <w:rPr>
          <w:color w:val="231F20"/>
          <w:spacing w:val="87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sont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cours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plani</w:t>
      </w:r>
      <w:r>
        <w:rPr>
          <w:color w:val="231F20"/>
          <w:spacing w:val="-2"/>
        </w:rPr>
        <w:t>fi</w:t>
      </w:r>
      <w:r>
        <w:rPr>
          <w:color w:val="231F20"/>
          <w:spacing w:val="-1"/>
        </w:rPr>
        <w:t>cation.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long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terme,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Ville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Lausanne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veut</w:t>
      </w:r>
      <w:r>
        <w:rPr>
          <w:color w:val="231F20"/>
          <w:spacing w:val="-2"/>
        </w:rPr>
        <w:t> transformer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tiers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du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potentiel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grands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bâtiments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centrales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solaires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générer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quelque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30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GWh/a.</w:t>
      </w:r>
      <w:r>
        <w:rPr>
          <w:b w:val="0"/>
          <w:bCs w:val="0"/>
        </w:rPr>
      </w:r>
    </w:p>
    <w:p>
      <w:pPr>
        <w:spacing w:after="0" w:line="230" w:lineRule="exact"/>
        <w:jc w:val="both"/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 w:hAnsi="Theinhardt Black" w:cs="Theinhardt Black" w:eastAsia="Theinhardt Black"/>
          <w:b/>
          <w:bCs/>
          <w:color w:val="0067B1"/>
          <w:spacing w:val="-4"/>
          <w:sz w:val="40"/>
          <w:szCs w:val="40"/>
        </w:rPr>
        <w:t>SI-REN</w:t>
      </w:r>
      <w:r>
        <w:rPr>
          <w:rFonts w:ascii="Theinhardt Black" w:hAnsi="Theinhardt Black" w:cs="Theinhardt Black" w:eastAsia="Theinhardt Black"/>
          <w:b/>
          <w:bCs/>
          <w:color w:val="0067B1"/>
          <w:spacing w:val="-8"/>
          <w:sz w:val="40"/>
          <w:szCs w:val="40"/>
        </w:rPr>
        <w:t> </w:t>
      </w:r>
      <w:r>
        <w:rPr>
          <w:rFonts w:ascii="Theinhardt Black" w:hAnsi="Theinhardt Black" w:cs="Theinhardt Black" w:eastAsia="Theinhardt Black"/>
          <w:b/>
          <w:bCs/>
          <w:color w:val="0067B1"/>
          <w:spacing w:val="-1"/>
          <w:sz w:val="40"/>
          <w:szCs w:val="40"/>
        </w:rPr>
        <w:t>SA</w:t>
      </w:r>
      <w:r>
        <w:rPr>
          <w:rFonts w:ascii="Theinhardt Black" w:hAnsi="Theinhardt Black" w:cs="Theinhardt Black" w:eastAsia="Theinhardt Black"/>
          <w:b/>
          <w:bCs/>
          <w:color w:val="0067B1"/>
          <w:spacing w:val="-8"/>
          <w:sz w:val="40"/>
          <w:szCs w:val="40"/>
        </w:rPr>
        <w:t> </w:t>
      </w:r>
      <w:r>
        <w:rPr>
          <w:rFonts w:ascii="Theinhardt Black" w:hAnsi="Theinhardt Black" w:cs="Theinhardt Black" w:eastAsia="Theinhardt Black"/>
          <w:b/>
          <w:bCs/>
          <w:color w:val="0067B1"/>
          <w:sz w:val="40"/>
          <w:szCs w:val="40"/>
        </w:rPr>
        <w:t>–</w:t>
      </w:r>
      <w:r>
        <w:rPr>
          <w:rFonts w:ascii="Theinhardt Black" w:hAnsi="Theinhardt Black" w:cs="Theinhardt Black" w:eastAsia="Theinhardt Black"/>
          <w:b/>
          <w:bCs/>
          <w:color w:val="0067B1"/>
          <w:spacing w:val="-8"/>
          <w:sz w:val="40"/>
          <w:szCs w:val="40"/>
        </w:rPr>
        <w:t> </w:t>
      </w:r>
      <w:r>
        <w:rPr>
          <w:rFonts w:ascii="Theinhardt Black" w:hAnsi="Theinhardt Black" w:cs="Theinhardt Black" w:eastAsia="Theinhardt Black"/>
          <w:b/>
          <w:bCs/>
          <w:color w:val="0067B1"/>
          <w:spacing w:val="4"/>
          <w:sz w:val="40"/>
          <w:szCs w:val="40"/>
        </w:rPr>
        <w:t>Les</w:t>
      </w:r>
      <w:r>
        <w:rPr>
          <w:rFonts w:ascii="Theinhardt Black" w:hAnsi="Theinhardt Black" w:cs="Theinhardt Black" w:eastAsia="Theinhardt Black"/>
          <w:b/>
          <w:bCs/>
          <w:color w:val="0067B1"/>
          <w:spacing w:val="-8"/>
          <w:sz w:val="40"/>
          <w:szCs w:val="40"/>
        </w:rPr>
        <w:t> </w:t>
      </w:r>
      <w:r>
        <w:rPr>
          <w:rFonts w:ascii="Theinhardt Black" w:hAnsi="Theinhardt Black" w:cs="Theinhardt Black" w:eastAsia="Theinhardt Black"/>
          <w:b/>
          <w:bCs/>
          <w:color w:val="0067B1"/>
          <w:sz w:val="40"/>
          <w:szCs w:val="40"/>
        </w:rPr>
        <w:t>énergies</w:t>
      </w:r>
      <w:r>
        <w:rPr>
          <w:rFonts w:ascii="Theinhardt Black" w:hAnsi="Theinhardt Black" w:cs="Theinhardt Black" w:eastAsia="Theinhardt Black"/>
          <w:b/>
          <w:bCs/>
          <w:color w:val="0067B1"/>
          <w:spacing w:val="-8"/>
          <w:sz w:val="40"/>
          <w:szCs w:val="40"/>
        </w:rPr>
        <w:t> </w:t>
      </w:r>
      <w:r>
        <w:rPr>
          <w:rFonts w:ascii="Theinhardt Black" w:hAnsi="Theinhardt Black" w:cs="Theinhardt Black" w:eastAsia="Theinhardt Black"/>
          <w:b/>
          <w:bCs/>
          <w:color w:val="0067B1"/>
          <w:spacing w:val="-1"/>
          <w:sz w:val="40"/>
          <w:szCs w:val="40"/>
        </w:rPr>
        <w:t>renouvelables</w:t>
      </w:r>
      <w:r>
        <w:rPr>
          <w:rFonts w:ascii="Theinhardt Black" w:hAnsi="Theinhardt Black" w:cs="Theinhardt Black" w:eastAsia="Theinhardt Black"/>
          <w:b/>
          <w:bCs/>
          <w:color w:val="0067B1"/>
          <w:spacing w:val="-8"/>
          <w:sz w:val="40"/>
          <w:szCs w:val="40"/>
        </w:rPr>
        <w:t> </w:t>
      </w:r>
      <w:r>
        <w:rPr>
          <w:rFonts w:ascii="Theinhardt Black" w:hAnsi="Theinhardt Black" w:cs="Theinhardt Black" w:eastAsia="Theinhardt Black"/>
          <w:b/>
          <w:bCs/>
          <w:color w:val="0067B1"/>
          <w:spacing w:val="-1"/>
          <w:sz w:val="40"/>
          <w:szCs w:val="40"/>
        </w:rPr>
        <w:t>de</w:t>
      </w:r>
      <w:r>
        <w:rPr>
          <w:rFonts w:ascii="Theinhardt Black" w:hAnsi="Theinhardt Black" w:cs="Theinhardt Black" w:eastAsia="Theinhardt Black"/>
          <w:b/>
          <w:bCs/>
          <w:color w:val="0067B1"/>
          <w:spacing w:val="-8"/>
          <w:sz w:val="40"/>
          <w:szCs w:val="40"/>
        </w:rPr>
        <w:t> </w:t>
      </w:r>
      <w:r>
        <w:rPr>
          <w:rFonts w:ascii="Theinhardt Black" w:hAnsi="Theinhardt Black" w:cs="Theinhardt Black" w:eastAsia="Theinhardt Black"/>
          <w:b/>
          <w:bCs/>
          <w:color w:val="0067B1"/>
          <w:spacing w:val="1"/>
          <w:sz w:val="40"/>
          <w:szCs w:val="40"/>
        </w:rPr>
        <w:t>Lausanne</w:t>
      </w:r>
      <w:r>
        <w:rPr>
          <w:rFonts w:ascii="Theinhardt Black" w:hAnsi="Theinhardt Black" w:cs="Theinhardt Black" w:eastAsia="Theinhardt Black"/>
          <w:sz w:val="40"/>
          <w:szCs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/>
        <w:jc w:val="both"/>
      </w:pPr>
      <w:r>
        <w:rPr>
          <w:color w:val="231F20"/>
          <w:spacing w:val="-2"/>
        </w:rPr>
        <w:t>Créée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2009</w:t>
      </w:r>
      <w:r>
        <w:rPr>
          <w:color w:val="231F20"/>
          <w:spacing w:val="-1"/>
        </w:rPr>
        <w:t> par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Ville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Lausanne,</w:t>
      </w:r>
      <w:r>
        <w:rPr>
          <w:color w:val="231F20"/>
          <w:spacing w:val="-12"/>
        </w:rPr>
        <w:t> </w:t>
      </w:r>
      <w:r>
        <w:rPr>
          <w:color w:val="231F20"/>
        </w:rPr>
        <w:t>SI-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REN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SA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pour</w:t>
      </w:r>
      <w:r>
        <w:rPr>
          <w:color w:val="231F20"/>
          <w:spacing w:val="35"/>
        </w:rPr>
        <w:t> </w:t>
      </w:r>
      <w:r>
        <w:rPr>
          <w:color w:val="231F20"/>
        </w:rPr>
        <w:t>objectif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développer</w:t>
      </w:r>
      <w:r>
        <w:rPr>
          <w:color w:val="231F20"/>
          <w:spacing w:val="35"/>
        </w:rPr>
        <w:t> </w:t>
      </w:r>
      <w:r>
        <w:rPr>
          <w:color w:val="231F20"/>
        </w:rPr>
        <w:t>la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production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d’électricité</w:t>
      </w:r>
      <w:r>
        <w:rPr>
          <w:color w:val="231F20"/>
          <w:spacing w:val="16"/>
        </w:rPr>
        <w:t> </w:t>
      </w:r>
      <w:r>
        <w:rPr>
          <w:color w:val="231F20"/>
        </w:rPr>
        <w:t>à</w:t>
      </w:r>
      <w:r>
        <w:rPr>
          <w:color w:val="231F20"/>
          <w:spacing w:val="16"/>
        </w:rPr>
        <w:t> </w:t>
      </w:r>
      <w:r>
        <w:rPr>
          <w:color w:val="231F20"/>
        </w:rPr>
        <w:t>partir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sources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d’énergies </w:t>
      </w:r>
      <w:r>
        <w:rPr>
          <w:color w:val="231F20"/>
          <w:spacing w:val="-1"/>
        </w:rPr>
        <w:t>renouvelables.</w:t>
      </w:r>
      <w:r>
        <w:rPr>
          <w:color w:val="231F20"/>
          <w:spacing w:val="-13"/>
        </w:rPr>
        <w:t> </w:t>
      </w:r>
      <w:r>
        <w:rPr>
          <w:color w:val="231F20"/>
        </w:rPr>
        <w:t>Depuis,</w:t>
      </w:r>
      <w:r>
        <w:rPr>
          <w:color w:val="231F20"/>
          <w:spacing w:val="-13"/>
        </w:rPr>
        <w:t> </w:t>
      </w:r>
      <w:r>
        <w:rPr>
          <w:color w:val="231F20"/>
        </w:rPr>
        <w:t>36</w:t>
      </w:r>
      <w:r>
        <w:rPr>
          <w:color w:val="231F20"/>
          <w:spacing w:val="-2"/>
        </w:rPr>
        <w:t> </w:t>
      </w:r>
      <w:r>
        <w:rPr>
          <w:color w:val="231F20"/>
        </w:rPr>
        <w:t>instal-</w:t>
      </w:r>
      <w:r>
        <w:rPr>
          <w:color w:val="231F20"/>
          <w:spacing w:val="31"/>
        </w:rPr>
        <w:t> </w:t>
      </w:r>
      <w:r>
        <w:rPr>
          <w:color w:val="231F20"/>
        </w:rPr>
        <w:t>lations</w:t>
      </w:r>
      <w:r>
        <w:rPr>
          <w:color w:val="231F20"/>
          <w:spacing w:val="-5"/>
        </w:rPr>
        <w:t> </w:t>
      </w:r>
      <w:r>
        <w:rPr>
          <w:color w:val="231F20"/>
        </w:rPr>
        <w:t>PV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placées</w:t>
      </w:r>
      <w:r>
        <w:rPr>
          <w:color w:val="231F20"/>
          <w:spacing w:val="-5"/>
        </w:rPr>
        <w:t> </w:t>
      </w:r>
      <w:r>
        <w:rPr>
          <w:color w:val="231F20"/>
        </w:rPr>
        <w:t>sur</w:t>
      </w:r>
      <w:r>
        <w:rPr>
          <w:color w:val="231F20"/>
          <w:spacing w:val="-5"/>
        </w:rPr>
        <w:t> </w:t>
      </w:r>
      <w:r>
        <w:rPr>
          <w:color w:val="231F20"/>
        </w:rPr>
        <w:t>les</w:t>
      </w:r>
      <w:r>
        <w:rPr>
          <w:color w:val="231F20"/>
          <w:spacing w:val="-5"/>
        </w:rPr>
        <w:t> </w:t>
      </w:r>
      <w:r>
        <w:rPr>
          <w:color w:val="231F20"/>
        </w:rPr>
        <w:t>toits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Lausanne</w:t>
      </w:r>
      <w:r>
        <w:rPr>
          <w:color w:val="231F20"/>
          <w:spacing w:val="32"/>
        </w:rPr>
        <w:t> </w:t>
      </w:r>
      <w:r>
        <w:rPr>
          <w:color w:val="231F20"/>
        </w:rPr>
        <w:t>et</w:t>
      </w:r>
      <w:r>
        <w:rPr>
          <w:color w:val="231F20"/>
          <w:spacing w:val="22"/>
        </w:rPr>
        <w:t> </w:t>
      </w:r>
      <w:r>
        <w:rPr>
          <w:color w:val="231F20"/>
        </w:rPr>
        <w:t>Région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génèrent</w:t>
      </w:r>
      <w:r>
        <w:rPr>
          <w:color w:val="231F20"/>
          <w:spacing w:val="22"/>
        </w:rPr>
        <w:t> </w:t>
      </w:r>
      <w:r>
        <w:rPr>
          <w:color w:val="231F20"/>
        </w:rPr>
        <w:t>8</w:t>
      </w:r>
      <w:r>
        <w:rPr>
          <w:color w:val="231F20"/>
          <w:spacing w:val="22"/>
        </w:rPr>
        <w:t> </w:t>
      </w:r>
      <w:r>
        <w:rPr>
          <w:color w:val="231F20"/>
          <w:spacing w:val="-4"/>
        </w:rPr>
        <w:t>GWh/a</w:t>
      </w:r>
      <w:r>
        <w:rPr>
          <w:color w:val="231F20"/>
          <w:spacing w:val="22"/>
        </w:rPr>
        <w:t> </w:t>
      </w:r>
      <w:r>
        <w:rPr>
          <w:color w:val="231F20"/>
        </w:rPr>
        <w:t>et</w:t>
      </w:r>
      <w:r>
        <w:rPr>
          <w:color w:val="231F20"/>
          <w:spacing w:val="22"/>
        </w:rPr>
        <w:t> </w:t>
      </w:r>
      <w:r>
        <w:rPr>
          <w:color w:val="231F20"/>
        </w:rPr>
        <w:t>37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autres</w:t>
      </w:r>
      <w:r>
        <w:rPr/>
      </w:r>
    </w:p>
    <w:p>
      <w:pPr>
        <w:spacing w:line="230" w:lineRule="exact" w:before="52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z w:val="18"/>
        </w:rPr>
        <w:t>Um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Produktion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von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erneuerbaren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Energi-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en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zu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fördern,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gründete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Stadt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Lausanne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2009</w:t>
      </w:r>
      <w:r>
        <w:rPr>
          <w:rFonts w:ascii="Theinhardt Regular Italic" w:hAnsi="Theinhardt Regular Italic"/>
          <w:i/>
          <w:color w:val="231F20"/>
          <w:spacing w:val="2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Gesellschaft</w:t>
      </w:r>
      <w:r>
        <w:rPr>
          <w:rFonts w:ascii="Theinhardt Regular Italic" w:hAnsi="Theinhardt Regular Italic"/>
          <w:i/>
          <w:color w:val="231F20"/>
          <w:spacing w:val="2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SI-REN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>SA.</w:t>
      </w:r>
      <w:r>
        <w:rPr>
          <w:rFonts w:ascii="Theinhardt Regular Italic" w:hAnsi="Theinhardt Regular Italic"/>
          <w:i/>
          <w:color w:val="231F20"/>
          <w:spacing w:val="2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Seitdem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wurden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36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PV-Anlagen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auf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den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Dächern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der</w:t>
      </w:r>
      <w:r>
        <w:rPr>
          <w:rFonts w:ascii="Theinhardt Regular Italic" w:hAnsi="Theinhardt Regular Italic"/>
          <w:i/>
          <w:color w:val="231F20"/>
          <w:spacing w:val="2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Region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Lausanne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installiert.</w:t>
      </w:r>
      <w:r>
        <w:rPr>
          <w:rFonts w:ascii="Theinhardt Regular Italic" w:hAnsi="Theinhardt Regular Italic"/>
          <w:i/>
          <w:color w:val="231F20"/>
          <w:spacing w:val="-1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Insgesamt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produ-</w:t>
      </w:r>
      <w:r>
        <w:rPr>
          <w:rFonts w:ascii="Theinhardt Regular Italic" w:hAnsi="Theinhardt Regular Italic"/>
          <w:i/>
          <w:color w:val="231F20"/>
          <w:spacing w:val="5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zieren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diese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8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GWh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Strom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pro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Jahr.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Weitere</w:t>
      </w:r>
      <w:r>
        <w:rPr>
          <w:rFonts w:ascii="Theinhardt Regular Italic" w:hAnsi="Theinhardt Regular Italic"/>
          <w:sz w:val="18"/>
        </w:rPr>
      </w:r>
    </w:p>
    <w:p>
      <w:pPr>
        <w:spacing w:before="87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pacing w:val="1"/>
          <w:sz w:val="14"/>
        </w:rPr>
        <w:t>I</w:t>
      </w:r>
      <w:r>
        <w:rPr>
          <w:rFonts w:ascii="Theinhardt Black"/>
          <w:b/>
          <w:color w:val="231F20"/>
          <w:spacing w:val="2"/>
          <w:sz w:val="14"/>
        </w:rPr>
        <w:t>n</w:t>
      </w:r>
      <w:r>
        <w:rPr>
          <w:rFonts w:ascii="Theinhardt Black"/>
          <w:b/>
          <w:color w:val="231F20"/>
          <w:spacing w:val="1"/>
          <w:sz w:val="14"/>
        </w:rPr>
        <w:t>f</w:t>
      </w:r>
      <w:r>
        <w:rPr>
          <w:rFonts w:ascii="Theinhardt Black"/>
          <w:b/>
          <w:color w:val="231F20"/>
          <w:sz w:val="14"/>
        </w:rPr>
        <w:t>o</w:t>
      </w:r>
      <w:r>
        <w:rPr>
          <w:rFonts w:ascii="Theinhardt Black"/>
          <w:b/>
          <w:color w:val="231F20"/>
          <w:spacing w:val="2"/>
          <w:sz w:val="14"/>
        </w:rPr>
        <w:t>r</w:t>
      </w:r>
      <w:r>
        <w:rPr>
          <w:rFonts w:ascii="Theinhardt Black"/>
          <w:b/>
          <w:color w:val="231F20"/>
          <w:spacing w:val="1"/>
          <w:sz w:val="14"/>
        </w:rPr>
        <w:t>m</w:t>
      </w:r>
      <w:r>
        <w:rPr>
          <w:rFonts w:ascii="Theinhardt Black"/>
          <w:b/>
          <w:color w:val="231F20"/>
          <w:spacing w:val="3"/>
          <w:sz w:val="14"/>
        </w:rPr>
        <w:t>a</w:t>
      </w:r>
      <w:r>
        <w:rPr>
          <w:rFonts w:ascii="Theinhardt Black"/>
          <w:b/>
          <w:color w:val="231F20"/>
          <w:spacing w:val="1"/>
          <w:sz w:val="14"/>
        </w:rPr>
        <w:t>t</w:t>
      </w:r>
      <w:r>
        <w:rPr>
          <w:rFonts w:ascii="Theinhardt Black"/>
          <w:b/>
          <w:color w:val="231F20"/>
          <w:sz w:val="14"/>
        </w:rPr>
        <w:t>io</w:t>
      </w:r>
      <w:r>
        <w:rPr>
          <w:rFonts w:ascii="Theinhardt Black"/>
          <w:b/>
          <w:color w:val="231F20"/>
          <w:spacing w:val="2"/>
          <w:sz w:val="14"/>
        </w:rPr>
        <w:t>n</w:t>
      </w:r>
      <w:r>
        <w:rPr>
          <w:rFonts w:ascii="Theinhardt Black"/>
          <w:b/>
          <w:color w:val="231F20"/>
          <w:sz w:val="14"/>
        </w:rPr>
        <w:t>s</w:t>
      </w:r>
      <w:r>
        <w:rPr>
          <w:rFonts w:ascii="Theinhardt Black"/>
          <w:sz w:val="14"/>
        </w:rPr>
      </w:r>
    </w:p>
    <w:p>
      <w:pPr>
        <w:tabs>
          <w:tab w:pos="3346" w:val="right" w:leader="none"/>
        </w:tabs>
        <w:spacing w:line="172" w:lineRule="exact" w:before="135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.791971pt;width:167.25pt;height:.45pt;mso-position-horizontal-relative:page;mso-position-vertical-relative:paragraph;z-index:1072" coordorigin="7710,36" coordsize="3345,9">
            <v:group style="position:absolute;left:7732;top:40;width:3311;height:2" coordorigin="7732,40" coordsize="3311,2">
              <v:shape style="position:absolute;left:7732;top:40;width:3311;height:2" coordorigin="7732,40" coordsize="3311,0" path="m7732,40l11042,40e" filled="false" stroked="true" strokeweight=".425pt" strokecolor="#231f20">
                <v:path arrowok="t"/>
                <v:stroke dashstyle="dash"/>
              </v:shape>
            </v:group>
            <v:group style="position:absolute;left:7714;top:40;width:2;height:2" coordorigin="7714,40" coordsize="2,2">
              <v:shape style="position:absolute;left:7714;top:40;width:2;height:2" coordorigin="7714,40" coordsize="0,0" path="m7714,40l7714,40e" filled="false" stroked="true" strokeweight=".425pt" strokecolor="#231f20">
                <v:path arrowok="t"/>
              </v:shape>
            </v:group>
            <v:group style="position:absolute;left:11051;top:40;width:2;height:2" coordorigin="11051,40" coordsize="2,2">
              <v:shape style="position:absolute;left:11051;top:40;width:2;height:2" coordorigin="11051,40" coordsize="0,0" path="m11051,40l11051,40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Nb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d’installations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activité: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36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22" w:val="left" w:leader="none"/>
          <w:tab w:pos="2914" w:val="left" w:leader="none"/>
        </w:tabs>
        <w:spacing w:line="207" w:lineRule="auto" w:before="5"/>
        <w:ind w:left="106" w:right="213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Production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annuelle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2016:</w:t>
        <w:tab/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8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GWh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moyenne:</w:t>
        <w:tab/>
        <w:t>222’222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kWh/a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3366" w:val="right" w:leader="none"/>
        </w:tabs>
        <w:spacing w:before="38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Nb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d’employés:</w:t>
        <w:tab/>
        <w:t>6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60" w:lineRule="exact" w:before="192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pict>
          <v:group style="position:absolute;margin-left:385.511902pt;margin-top:20.641991pt;width:167.25pt;height:.45pt;mso-position-horizontal-relative:page;mso-position-vertical-relative:paragraph;z-index:-5608" coordorigin="7710,413" coordsize="3345,9">
            <v:group style="position:absolute;left:7732;top:417;width:3311;height:2" coordorigin="7732,417" coordsize="3311,2">
              <v:shape style="position:absolute;left:7732;top:417;width:3311;height:2" coordorigin="7732,417" coordsize="3311,0" path="m7732,417l11042,417e" filled="false" stroked="true" strokeweight=".425pt" strokecolor="#231f20">
                <v:path arrowok="t"/>
                <v:stroke dashstyle="dash"/>
              </v:shape>
            </v:group>
            <v:group style="position:absolute;left:7714;top:417;width:2;height:2" coordorigin="7714,417" coordsize="2,2">
              <v:shape style="position:absolute;left:7714;top:417;width:2;height:2" coordorigin="7714,417" coordsize="0,0" path="m7714,417l7714,417e" filled="false" stroked="true" strokeweight=".425pt" strokecolor="#231f20">
                <v:path arrowok="t"/>
              </v:shape>
            </v:group>
            <v:group style="position:absolute;left:11051;top:417;width:2;height:2" coordorigin="11051,417" coordsize="2,2">
              <v:shape style="position:absolute;left:11051;top:417;width:2;height:2" coordorigin="11051,417" coordsize="0,0" path="m11051,417l11051,417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Black"/>
          <w:b/>
          <w:color w:val="231F20"/>
          <w:spacing w:val="1"/>
          <w:sz w:val="14"/>
        </w:rPr>
        <w:t>Installations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1"/>
          <w:sz w:val="14"/>
        </w:rPr>
        <w:t>photovoltaiques</w:t>
      </w:r>
      <w:r>
        <w:rPr>
          <w:rFonts w:ascii="Theinhardt Black"/>
          <w:b/>
          <w:color w:val="231F20"/>
          <w:sz w:val="14"/>
        </w:rPr>
        <w:t> (2011-2016)</w:t>
      </w:r>
      <w:r>
        <w:rPr>
          <w:rFonts w:ascii="Theinhardt Black"/>
          <w:sz w:val="14"/>
        </w:rPr>
      </w:r>
    </w:p>
    <w:p>
      <w:pPr>
        <w:spacing w:after="0" w:line="160" w:lineRule="exact"/>
        <w:jc w:val="left"/>
        <w:rPr>
          <w:rFonts w:ascii="Theinhardt Black" w:hAnsi="Theinhardt Black" w:cs="Theinhardt Black" w:eastAsia="Theinhardt Black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2" w:space="119"/>
            <w:col w:w="3567"/>
          </w:cols>
        </w:sectPr>
      </w:pPr>
    </w:p>
    <w:p>
      <w:pPr>
        <w:pStyle w:val="BodyText"/>
        <w:spacing w:line="190" w:lineRule="exact"/>
        <w:ind w:right="0"/>
        <w:jc w:val="left"/>
      </w:pPr>
      <w:r>
        <w:rPr>
          <w:color w:val="231F20"/>
          <w:spacing w:val="-1"/>
        </w:rPr>
        <w:t>projets</w:t>
      </w:r>
      <w:r>
        <w:rPr>
          <w:color w:val="231F20"/>
        </w:rPr>
        <w:t> PV </w:t>
      </w:r>
      <w:r>
        <w:rPr>
          <w:color w:val="231F20"/>
          <w:spacing w:val="-1"/>
        </w:rPr>
        <w:t>sont</w:t>
      </w:r>
      <w:r>
        <w:rPr>
          <w:color w:val="231F20"/>
        </w:rPr>
        <w:t> en cours de planification.</w:t>
      </w:r>
      <w:r>
        <w:rPr/>
      </w:r>
    </w:p>
    <w:p>
      <w:pPr>
        <w:tabs>
          <w:tab w:pos="3699" w:val="left" w:leader="none"/>
          <w:tab w:pos="7010" w:val="left" w:leader="none"/>
        </w:tabs>
        <w:spacing w:line="190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/>
          <w:i/>
          <w:color w:val="231F20"/>
          <w:spacing w:val="-1"/>
          <w:sz w:val="18"/>
        </w:rPr>
        <w:t>37</w:t>
      </w:r>
      <w:r>
        <w:rPr>
          <w:rFonts w:asci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/>
          <w:i/>
          <w:color w:val="231F20"/>
          <w:spacing w:val="-3"/>
          <w:sz w:val="18"/>
        </w:rPr>
        <w:t>PV-Projekte</w:t>
      </w:r>
      <w:r>
        <w:rPr>
          <w:rFonts w:asci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/>
          <w:i/>
          <w:color w:val="231F20"/>
          <w:spacing w:val="-2"/>
          <w:sz w:val="18"/>
        </w:rPr>
        <w:t>sind</w:t>
      </w:r>
      <w:r>
        <w:rPr>
          <w:rFonts w:asci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/>
          <w:i/>
          <w:color w:val="231F20"/>
          <w:spacing w:val="-3"/>
          <w:sz w:val="18"/>
        </w:rPr>
        <w:t>zurzeit</w:t>
      </w:r>
      <w:r>
        <w:rPr>
          <w:rFonts w:asci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/>
          <w:i/>
          <w:color w:val="231F20"/>
          <w:spacing w:val="-1"/>
          <w:sz w:val="18"/>
        </w:rPr>
        <w:t>in</w:t>
      </w:r>
      <w:r>
        <w:rPr>
          <w:rFonts w:asci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/>
          <w:i/>
          <w:color w:val="231F20"/>
          <w:spacing w:val="-2"/>
          <w:sz w:val="18"/>
        </w:rPr>
        <w:t>Planung.</w:t>
      </w:r>
      <w:r>
        <w:rPr>
          <w:rFonts w:ascii="Theinhardt Regular Italic"/>
          <w:i/>
          <w:color w:val="231F20"/>
          <w:sz w:val="18"/>
        </w:rPr>
        <w:tab/>
        <w:t> </w:t>
        <w:tab/>
      </w:r>
      <w:r>
        <w:rPr>
          <w:rFonts w:ascii="Theinhardt Regular Italic"/>
          <w:sz w:val="18"/>
        </w:rPr>
      </w:r>
    </w:p>
    <w:p>
      <w:pPr>
        <w:spacing w:after="0" w:line="190" w:lineRule="exact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3267" w:space="304"/>
            <w:col w:w="7139"/>
          </w:cols>
        </w:sectPr>
      </w:pPr>
    </w:p>
    <w:p>
      <w:pPr>
        <w:pStyle w:val="BodyText"/>
        <w:spacing w:line="232" w:lineRule="auto" w:before="6"/>
        <w:ind w:right="8" w:firstLine="226"/>
        <w:jc w:val="both"/>
      </w:pP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production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devrait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atteindre</w:t>
      </w:r>
      <w:r>
        <w:rPr>
          <w:color w:val="231F20"/>
          <w:spacing w:val="-17"/>
        </w:rPr>
        <w:t> </w:t>
      </w:r>
      <w:r>
        <w:rPr>
          <w:color w:val="231F20"/>
        </w:rPr>
        <w:t>20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GWh/a</w:t>
      </w:r>
      <w:r>
        <w:rPr>
          <w:color w:val="231F20"/>
          <w:spacing w:val="49"/>
        </w:rPr>
        <w:t> </w:t>
      </w:r>
      <w:r>
        <w:rPr>
          <w:color w:val="231F20"/>
        </w:rPr>
        <w:t>d’ici</w:t>
      </w:r>
      <w:r>
        <w:rPr>
          <w:color w:val="231F20"/>
          <w:spacing w:val="32"/>
        </w:rPr>
        <w:t> </w:t>
      </w:r>
      <w:r>
        <w:rPr>
          <w:color w:val="231F20"/>
        </w:rPr>
        <w:t>2020.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33"/>
        </w:rPr>
        <w:t> </w:t>
      </w:r>
      <w:r>
        <w:rPr>
          <w:color w:val="231F20"/>
        </w:rPr>
        <w:t>long</w:t>
      </w:r>
      <w:r>
        <w:rPr>
          <w:color w:val="231F20"/>
          <w:spacing w:val="32"/>
        </w:rPr>
        <w:t> </w:t>
      </w:r>
      <w:r>
        <w:rPr>
          <w:color w:val="231F20"/>
        </w:rPr>
        <w:t>terme,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1"/>
        </w:rPr>
        <w:t> </w:t>
      </w:r>
      <w:r>
        <w:rPr>
          <w:color w:val="231F20"/>
        </w:rPr>
        <w:t>Ville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Lau-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sanne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s’est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fixée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transformer</w:t>
      </w:r>
      <w:r>
        <w:rPr>
          <w:color w:val="231F20"/>
          <w:spacing w:val="3"/>
        </w:rPr>
        <w:t> </w:t>
      </w:r>
      <w:r>
        <w:rPr>
          <w:color w:val="231F20"/>
        </w:rPr>
        <w:t>un</w:t>
      </w:r>
      <w:r>
        <w:rPr>
          <w:color w:val="231F20"/>
          <w:spacing w:val="3"/>
        </w:rPr>
        <w:t> </w:t>
      </w:r>
      <w:r>
        <w:rPr>
          <w:color w:val="231F20"/>
        </w:rPr>
        <w:t>tiers</w:t>
      </w:r>
      <w:r>
        <w:rPr>
          <w:color w:val="231F20"/>
          <w:spacing w:val="3"/>
        </w:rPr>
        <w:t> </w:t>
      </w:r>
      <w:r>
        <w:rPr>
          <w:color w:val="231F20"/>
        </w:rPr>
        <w:t>du</w:t>
      </w:r>
      <w:r>
        <w:rPr>
          <w:color w:val="231F20"/>
          <w:spacing w:val="27"/>
        </w:rPr>
        <w:t> </w:t>
      </w:r>
      <w:r>
        <w:rPr>
          <w:color w:val="231F20"/>
        </w:rPr>
        <w:t>potentiel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solaire</w:t>
      </w:r>
      <w:r>
        <w:rPr>
          <w:color w:val="231F20"/>
          <w:spacing w:val="33"/>
        </w:rPr>
        <w:t> </w:t>
      </w:r>
      <w:r>
        <w:rPr>
          <w:color w:val="231F20"/>
        </w:rPr>
        <w:t>des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grands</w:t>
      </w:r>
      <w:r>
        <w:rPr>
          <w:color w:val="231F20"/>
          <w:spacing w:val="33"/>
        </w:rPr>
        <w:t> </w:t>
      </w:r>
      <w:r>
        <w:rPr>
          <w:color w:val="231F20"/>
        </w:rPr>
        <w:t>bâtiments</w:t>
      </w:r>
      <w:r>
        <w:rPr>
          <w:color w:val="231F20"/>
          <w:spacing w:val="33"/>
        </w:rPr>
        <w:t> </w:t>
      </w:r>
      <w:r>
        <w:rPr>
          <w:color w:val="231F20"/>
        </w:rPr>
        <w:t>en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centrales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solaires</w:t>
      </w:r>
      <w:r>
        <w:rPr>
          <w:color w:val="231F20"/>
          <w:spacing w:val="13"/>
        </w:rPr>
        <w:t> </w:t>
      </w:r>
      <w:r>
        <w:rPr>
          <w:color w:val="231F20"/>
        </w:rPr>
        <w:t>et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générer</w:t>
      </w:r>
      <w:r>
        <w:rPr>
          <w:color w:val="231F20"/>
          <w:spacing w:val="13"/>
        </w:rPr>
        <w:t> </w:t>
      </w:r>
      <w:r>
        <w:rPr>
          <w:color w:val="231F20"/>
        </w:rPr>
        <w:t>ainsi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quel-</w:t>
      </w:r>
      <w:r>
        <w:rPr>
          <w:color w:val="231F20"/>
          <w:spacing w:val="25"/>
        </w:rPr>
        <w:t> </w:t>
      </w:r>
      <w:r>
        <w:rPr>
          <w:color w:val="231F20"/>
        </w:rPr>
        <w:t>que 30 </w:t>
      </w:r>
      <w:r>
        <w:rPr>
          <w:color w:val="231F20"/>
          <w:spacing w:val="-3"/>
        </w:rPr>
        <w:t>GWh/a.</w:t>
      </w:r>
      <w:r>
        <w:rPr/>
      </w:r>
    </w:p>
    <w:p>
      <w:pPr>
        <w:pStyle w:val="BodyText"/>
        <w:spacing w:line="232" w:lineRule="auto"/>
        <w:ind w:right="8" w:firstLine="226"/>
        <w:jc w:val="both"/>
      </w:pPr>
      <w:r>
        <w:rPr>
          <w:color w:val="231F20"/>
          <w:spacing w:val="-3"/>
        </w:rPr>
        <w:t>Le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programme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informatique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CentralProd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été</w:t>
      </w:r>
      <w:r>
        <w:rPr>
          <w:color w:val="231F20"/>
          <w:spacing w:val="5"/>
        </w:rPr>
        <w:t> </w:t>
      </w:r>
      <w:r>
        <w:rPr>
          <w:color w:val="231F20"/>
        </w:rPr>
        <w:t>spécifiquement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développé</w:t>
      </w:r>
      <w:r>
        <w:rPr>
          <w:color w:val="231F20"/>
          <w:spacing w:val="5"/>
        </w:rPr>
        <w:t> </w:t>
      </w:r>
      <w:r>
        <w:rPr>
          <w:color w:val="231F20"/>
        </w:rPr>
        <w:t>pour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gérer</w:t>
      </w:r>
      <w:r>
        <w:rPr>
          <w:color w:val="231F20"/>
          <w:spacing w:val="28"/>
        </w:rPr>
        <w:t> </w:t>
      </w:r>
      <w:r>
        <w:rPr>
          <w:color w:val="231F20"/>
        </w:rPr>
        <w:t>toute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l’infrastructure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PV,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planification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l’exploitation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passant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par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mise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œu-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vre.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Avec </w:t>
      </w:r>
      <w:r>
        <w:rPr>
          <w:color w:val="231F20"/>
        </w:rPr>
        <w:t>une</w:t>
      </w:r>
      <w:r>
        <w:rPr>
          <w:color w:val="231F20"/>
          <w:spacing w:val="-1"/>
        </w:rPr>
        <w:t> </w:t>
      </w:r>
      <w:r>
        <w:rPr>
          <w:color w:val="231F20"/>
        </w:rPr>
        <w:t>équipe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6</w:t>
      </w:r>
      <w:r>
        <w:rPr>
          <w:color w:val="231F20"/>
          <w:spacing w:val="-1"/>
        </w:rPr>
        <w:t> personnes,</w:t>
      </w:r>
      <w:r>
        <w:rPr>
          <w:color w:val="231F20"/>
          <w:spacing w:val="-12"/>
        </w:rPr>
        <w:t> </w:t>
      </w:r>
      <w:r>
        <w:rPr>
          <w:color w:val="231F20"/>
        </w:rPr>
        <w:t>il</w:t>
      </w:r>
      <w:r>
        <w:rPr>
          <w:color w:val="231F20"/>
          <w:spacing w:val="-1"/>
        </w:rPr>
        <w:t> suf-</w:t>
      </w:r>
      <w:r>
        <w:rPr>
          <w:color w:val="231F20"/>
          <w:spacing w:val="27"/>
        </w:rPr>
        <w:t> </w:t>
      </w:r>
      <w:r>
        <w:rPr>
          <w:color w:val="231F20"/>
        </w:rPr>
        <w:t>fit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trois</w:t>
      </w:r>
      <w:r>
        <w:rPr>
          <w:color w:val="231F20"/>
          <w:spacing w:val="8"/>
        </w:rPr>
        <w:t> </w:t>
      </w:r>
      <w:r>
        <w:rPr>
          <w:color w:val="231F20"/>
        </w:rPr>
        <w:t>chefs</w:t>
      </w:r>
      <w:r>
        <w:rPr>
          <w:color w:val="231F20"/>
          <w:spacing w:val="8"/>
        </w:rPr>
        <w:t> </w:t>
      </w:r>
      <w:r>
        <w:rPr>
          <w:color w:val="231F20"/>
        </w:rPr>
        <w:t>de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projets</w:t>
      </w:r>
      <w:r>
        <w:rPr>
          <w:color w:val="231F20"/>
          <w:spacing w:val="8"/>
        </w:rPr>
        <w:t> </w:t>
      </w:r>
      <w:r>
        <w:rPr>
          <w:color w:val="231F20"/>
        </w:rPr>
        <w:t>et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d’un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respon-</w:t>
      </w:r>
      <w:r>
        <w:rPr>
          <w:color w:val="231F20"/>
          <w:spacing w:val="29"/>
        </w:rPr>
        <w:t> </w:t>
      </w:r>
      <w:r>
        <w:rPr>
          <w:color w:val="231F20"/>
        </w:rPr>
        <w:t>sable</w:t>
      </w:r>
      <w:r>
        <w:rPr>
          <w:color w:val="231F20"/>
          <w:spacing w:val="-15"/>
        </w:rPr>
        <w:t> </w:t>
      </w:r>
      <w:r>
        <w:rPr>
          <w:color w:val="231F20"/>
        </w:rPr>
        <w:t>d’installation</w:t>
      </w:r>
      <w:r>
        <w:rPr>
          <w:color w:val="231F20"/>
          <w:spacing w:val="-15"/>
        </w:rPr>
        <w:t> </w:t>
      </w:r>
      <w:r>
        <w:rPr>
          <w:color w:val="231F20"/>
        </w:rPr>
        <w:t>pour</w:t>
      </w:r>
      <w:r>
        <w:rPr>
          <w:color w:val="231F20"/>
          <w:spacing w:val="-15"/>
        </w:rPr>
        <w:t> </w:t>
      </w:r>
      <w:r>
        <w:rPr>
          <w:color w:val="231F20"/>
        </w:rPr>
        <w:t>mener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bien</w:t>
      </w:r>
      <w:r>
        <w:rPr>
          <w:color w:val="231F20"/>
          <w:spacing w:val="-15"/>
        </w:rPr>
        <w:t> </w:t>
      </w:r>
      <w:r>
        <w:rPr>
          <w:color w:val="231F20"/>
        </w:rPr>
        <w:t>toutes</w:t>
      </w:r>
      <w:r>
        <w:rPr>
          <w:color w:val="231F20"/>
          <w:spacing w:val="22"/>
        </w:rPr>
        <w:t> </w:t>
      </w:r>
      <w:r>
        <w:rPr>
          <w:color w:val="231F20"/>
        </w:rPr>
        <w:t>ces</w:t>
      </w:r>
      <w:r>
        <w:rPr>
          <w:color w:val="231F20"/>
          <w:spacing w:val="22"/>
        </w:rPr>
        <w:t> </w:t>
      </w:r>
      <w:r>
        <w:rPr>
          <w:color w:val="231F20"/>
        </w:rPr>
        <w:t>tâches.</w:t>
      </w:r>
      <w:r>
        <w:rPr>
          <w:color w:val="231F20"/>
          <w:spacing w:val="11"/>
        </w:rPr>
        <w:t> </w:t>
      </w:r>
      <w:r>
        <w:rPr>
          <w:color w:val="231F20"/>
        </w:rPr>
        <w:t>Cela</w:t>
      </w:r>
      <w:r>
        <w:rPr>
          <w:color w:val="231F20"/>
          <w:spacing w:val="22"/>
        </w:rPr>
        <w:t> </w:t>
      </w:r>
      <w:r>
        <w:rPr>
          <w:color w:val="231F20"/>
        </w:rPr>
        <w:t>permet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proposer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l’én-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ergie</w:t>
      </w:r>
      <w:r>
        <w:rPr>
          <w:color w:val="231F20"/>
        </w:rPr>
        <w:t> </w:t>
      </w:r>
      <w:r>
        <w:rPr>
          <w:color w:val="231F20"/>
          <w:spacing w:val="-1"/>
        </w:rPr>
        <w:t>renouvelable</w:t>
      </w:r>
      <w:r>
        <w:rPr>
          <w:color w:val="231F20"/>
        </w:rPr>
        <w:t> à un prix </w:t>
      </w:r>
      <w:r>
        <w:rPr>
          <w:color w:val="231F20"/>
          <w:spacing w:val="-1"/>
        </w:rPr>
        <w:t>concurrentiel.</w:t>
      </w:r>
      <w:r>
        <w:rPr/>
      </w:r>
    </w:p>
    <w:p>
      <w:pPr>
        <w:pStyle w:val="BodyText"/>
        <w:spacing w:line="232" w:lineRule="auto"/>
        <w:ind w:right="0" w:firstLine="226"/>
        <w:jc w:val="both"/>
      </w:pPr>
      <w:r>
        <w:rPr>
          <w:color w:val="231F20"/>
          <w:spacing w:val="-1"/>
        </w:rPr>
        <w:t>Disponible</w:t>
      </w:r>
      <w:r>
        <w:rPr>
          <w:color w:val="231F20"/>
          <w:spacing w:val="9"/>
        </w:rPr>
        <w:t> </w:t>
      </w:r>
      <w:r>
        <w:rPr>
          <w:color w:val="231F20"/>
        </w:rPr>
        <w:t>sur</w:t>
      </w:r>
      <w:r>
        <w:rPr>
          <w:color w:val="231F20"/>
          <w:spacing w:val="9"/>
        </w:rPr>
        <w:t> </w:t>
      </w:r>
      <w:r>
        <w:rPr>
          <w:color w:val="231F20"/>
        </w:rPr>
        <w:t>le</w:t>
      </w:r>
      <w:r>
        <w:rPr>
          <w:color w:val="231F20"/>
          <w:spacing w:val="9"/>
        </w:rPr>
        <w:t> </w:t>
      </w:r>
      <w:r>
        <w:rPr>
          <w:color w:val="231F20"/>
        </w:rPr>
        <w:t>site</w:t>
      </w:r>
      <w:r>
        <w:rPr>
          <w:color w:val="231F20"/>
          <w:spacing w:val="9"/>
        </w:rPr>
        <w:t> </w:t>
      </w:r>
      <w:r>
        <w:rPr>
          <w:color w:val="231F20"/>
        </w:rPr>
        <w:t>web</w:t>
      </w:r>
      <w:r>
        <w:rPr>
          <w:color w:val="231F20"/>
          <w:spacing w:val="9"/>
        </w:rPr>
        <w:t> </w:t>
      </w:r>
      <w:r>
        <w:rPr>
          <w:color w:val="231F20"/>
        </w:rPr>
        <w:t>de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SI-REN, </w:t>
      </w:r>
      <w:r>
        <w:rPr>
          <w:color w:val="231F20"/>
        </w:rPr>
        <w:t>la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plateforme</w:t>
      </w:r>
      <w:r>
        <w:rPr>
          <w:color w:val="231F20"/>
          <w:spacing w:val="21"/>
        </w:rPr>
        <w:t> </w:t>
      </w:r>
      <w:r>
        <w:rPr>
          <w:color w:val="231F20"/>
        </w:rPr>
        <w:t>Solarlog</w:t>
      </w:r>
      <w:r>
        <w:rPr>
          <w:color w:val="231F20"/>
          <w:spacing w:val="21"/>
        </w:rPr>
        <w:t> </w:t>
      </w:r>
      <w:r>
        <w:rPr>
          <w:color w:val="231F20"/>
        </w:rPr>
        <w:t>affiche</w:t>
      </w:r>
      <w:r>
        <w:rPr>
          <w:color w:val="231F20"/>
          <w:spacing w:val="21"/>
        </w:rPr>
        <w:t> </w:t>
      </w:r>
      <w:r>
        <w:rPr>
          <w:color w:val="231F20"/>
        </w:rPr>
        <w:t>les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données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concernant</w:t>
      </w:r>
      <w:r>
        <w:rPr>
          <w:color w:val="231F20"/>
          <w:spacing w:val="23"/>
        </w:rPr>
        <w:t> </w:t>
      </w:r>
      <w:r>
        <w:rPr>
          <w:color w:val="231F20"/>
        </w:rPr>
        <w:t>les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différentes</w:t>
      </w:r>
      <w:r>
        <w:rPr>
          <w:color w:val="231F20"/>
          <w:spacing w:val="23"/>
        </w:rPr>
        <w:t> </w:t>
      </w:r>
      <w:r>
        <w:rPr>
          <w:color w:val="231F20"/>
        </w:rPr>
        <w:t>installations</w:t>
      </w:r>
      <w:r>
        <w:rPr>
          <w:color w:val="231F20"/>
          <w:spacing w:val="24"/>
        </w:rPr>
        <w:t> </w:t>
      </w:r>
      <w:r>
        <w:rPr>
          <w:color w:val="231F20"/>
          <w:spacing w:val="-6"/>
        </w:rPr>
        <w:t>PV.</w:t>
      </w:r>
      <w:r>
        <w:rPr>
          <w:color w:val="231F20"/>
          <w:spacing w:val="42"/>
        </w:rPr>
        <w:t> </w:t>
      </w:r>
      <w:r>
        <w:rPr>
          <w:color w:val="231F20"/>
          <w:spacing w:val="-4"/>
        </w:rPr>
        <w:t>Toute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personne</w:t>
      </w:r>
      <w:r>
        <w:rPr>
          <w:color w:val="231F20"/>
          <w:spacing w:val="-15"/>
        </w:rPr>
        <w:t> </w:t>
      </w:r>
      <w:r>
        <w:rPr>
          <w:color w:val="231F20"/>
        </w:rPr>
        <w:t>peut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connaître,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par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exemple,</w:t>
      </w:r>
      <w:r>
        <w:rPr>
          <w:color w:val="231F20"/>
          <w:spacing w:val="35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quantité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courant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produit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par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chacune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d’elles.</w:t>
      </w:r>
      <w:r>
        <w:rPr/>
      </w:r>
    </w:p>
    <w:p>
      <w:pPr>
        <w:pStyle w:val="BodyText"/>
        <w:spacing w:line="232" w:lineRule="auto"/>
        <w:ind w:right="8" w:firstLine="226"/>
        <w:jc w:val="both"/>
      </w:pPr>
      <w:r>
        <w:rPr>
          <w:color w:val="231F20"/>
        </w:rPr>
        <w:t>Depuis</w:t>
      </w:r>
      <w:r>
        <w:rPr>
          <w:color w:val="231F20"/>
          <w:spacing w:val="21"/>
        </w:rPr>
        <w:t> </w:t>
      </w:r>
      <w:r>
        <w:rPr>
          <w:color w:val="231F20"/>
        </w:rPr>
        <w:t>2017,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SI-REN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propose</w:t>
      </w:r>
      <w:r>
        <w:rPr>
          <w:color w:val="231F20"/>
          <w:spacing w:val="21"/>
        </w:rPr>
        <w:t> </w:t>
      </w:r>
      <w:r>
        <w:rPr>
          <w:color w:val="231F20"/>
        </w:rPr>
        <w:t>en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outre</w:t>
      </w:r>
      <w:r>
        <w:rPr>
          <w:color w:val="231F20"/>
          <w:spacing w:val="31"/>
        </w:rPr>
        <w:t> </w:t>
      </w:r>
      <w:r>
        <w:rPr>
          <w:color w:val="231F20"/>
        </w:rPr>
        <w:t>un</w:t>
      </w:r>
      <w:r>
        <w:rPr>
          <w:color w:val="231F20"/>
          <w:spacing w:val="2"/>
        </w:rPr>
        <w:t> </w:t>
      </w:r>
      <w:r>
        <w:rPr>
          <w:color w:val="231F20"/>
        </w:rPr>
        <w:t>concept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contracting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solaire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parte-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nariat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avec</w:t>
      </w:r>
      <w:r>
        <w:rPr>
          <w:color w:val="231F20"/>
          <w:spacing w:val="12"/>
        </w:rPr>
        <w:t> </w:t>
      </w:r>
      <w:r>
        <w:rPr>
          <w:color w:val="231F20"/>
        </w:rPr>
        <w:t>les</w:t>
      </w:r>
      <w:r>
        <w:rPr>
          <w:color w:val="231F20"/>
          <w:spacing w:val="12"/>
        </w:rPr>
        <w:t> </w:t>
      </w:r>
      <w:r>
        <w:rPr>
          <w:color w:val="231F20"/>
        </w:rPr>
        <w:t>Services</w:t>
      </w:r>
      <w:r>
        <w:rPr>
          <w:color w:val="231F20"/>
          <w:spacing w:val="12"/>
        </w:rPr>
        <w:t> </w:t>
      </w:r>
      <w:r>
        <w:rPr>
          <w:color w:val="231F20"/>
        </w:rPr>
        <w:t>industriels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Lau-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sanne,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grâce</w:t>
      </w:r>
      <w:r>
        <w:rPr>
          <w:color w:val="231F20"/>
          <w:spacing w:val="21"/>
        </w:rPr>
        <w:t> </w:t>
      </w:r>
      <w:r>
        <w:rPr>
          <w:color w:val="231F20"/>
        </w:rPr>
        <w:t>auquel</w:t>
      </w:r>
      <w:r>
        <w:rPr>
          <w:color w:val="231F20"/>
          <w:spacing w:val="21"/>
        </w:rPr>
        <w:t> </w:t>
      </w:r>
      <w:r>
        <w:rPr>
          <w:color w:val="231F20"/>
        </w:rPr>
        <w:t>les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propriétaires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peu-</w:t>
      </w:r>
      <w:r>
        <w:rPr>
          <w:color w:val="231F20"/>
          <w:spacing w:val="23"/>
        </w:rPr>
        <w:t> </w:t>
      </w:r>
      <w:r>
        <w:rPr>
          <w:color w:val="231F20"/>
        </w:rPr>
        <w:t>vent</w:t>
      </w:r>
      <w:r>
        <w:rPr>
          <w:color w:val="231F20"/>
          <w:spacing w:val="44"/>
        </w:rPr>
        <w:t> </w:t>
      </w:r>
      <w:r>
        <w:rPr>
          <w:color w:val="231F20"/>
        </w:rPr>
        <w:t>installer</w:t>
      </w:r>
      <w:r>
        <w:rPr>
          <w:color w:val="231F20"/>
          <w:spacing w:val="45"/>
        </w:rPr>
        <w:t> </w:t>
      </w:r>
      <w:r>
        <w:rPr>
          <w:color w:val="231F20"/>
        </w:rPr>
        <w:t>un</w:t>
      </w:r>
      <w:r>
        <w:rPr>
          <w:color w:val="231F20"/>
          <w:spacing w:val="44"/>
        </w:rPr>
        <w:t> </w:t>
      </w:r>
      <w:r>
        <w:rPr>
          <w:color w:val="231F20"/>
        </w:rPr>
        <w:t>système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solaire</w:t>
      </w:r>
      <w:r>
        <w:rPr>
          <w:color w:val="231F20"/>
          <w:spacing w:val="45"/>
        </w:rPr>
        <w:t> </w:t>
      </w:r>
      <w:r>
        <w:rPr>
          <w:color w:val="231F20"/>
        </w:rPr>
        <w:t>sur</w:t>
      </w:r>
      <w:r>
        <w:rPr>
          <w:color w:val="231F20"/>
          <w:spacing w:val="44"/>
        </w:rPr>
        <w:t> </w:t>
      </w:r>
      <w:r>
        <w:rPr>
          <w:color w:val="231F20"/>
        </w:rPr>
        <w:t>leur</w:t>
      </w:r>
      <w:r>
        <w:rPr>
          <w:color w:val="231F20"/>
          <w:spacing w:val="28"/>
        </w:rPr>
        <w:t> </w:t>
      </w:r>
      <w:r>
        <w:rPr>
          <w:color w:val="231F20"/>
        </w:rPr>
        <w:t>bâtiment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sans</w:t>
      </w:r>
      <w:r>
        <w:rPr>
          <w:color w:val="231F20"/>
          <w:spacing w:val="8"/>
        </w:rPr>
        <w:t> </w:t>
      </w:r>
      <w:r>
        <w:rPr>
          <w:color w:val="231F20"/>
        </w:rPr>
        <w:t>aucun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frais.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consommant</w:t>
      </w:r>
      <w:r>
        <w:rPr>
          <w:color w:val="231F20"/>
          <w:spacing w:val="27"/>
        </w:rPr>
        <w:t> </w:t>
      </w:r>
      <w:r>
        <w:rPr>
          <w:color w:val="231F20"/>
        </w:rPr>
        <w:t>le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courant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provenant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leur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propre</w:t>
      </w:r>
      <w:r>
        <w:rPr>
          <w:color w:val="231F20"/>
          <w:spacing w:val="11"/>
        </w:rPr>
        <w:t> </w:t>
      </w:r>
      <w:r>
        <w:rPr>
          <w:color w:val="231F20"/>
        </w:rPr>
        <w:t>toit, ils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profitent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d’un</w:t>
      </w:r>
      <w:r>
        <w:rPr>
          <w:color w:val="231F20"/>
          <w:spacing w:val="8"/>
        </w:rPr>
        <w:t> </w:t>
      </w:r>
      <w:r>
        <w:rPr>
          <w:color w:val="231F20"/>
        </w:rPr>
        <w:t>meilleur</w:t>
      </w:r>
      <w:r>
        <w:rPr>
          <w:color w:val="231F20"/>
          <w:spacing w:val="8"/>
        </w:rPr>
        <w:t> </w:t>
      </w:r>
      <w:r>
        <w:rPr>
          <w:color w:val="231F20"/>
        </w:rPr>
        <w:t>tarif</w:t>
      </w:r>
      <w:r>
        <w:rPr>
          <w:color w:val="231F20"/>
          <w:spacing w:val="8"/>
        </w:rPr>
        <w:t> </w:t>
      </w:r>
      <w:r>
        <w:rPr>
          <w:color w:val="231F20"/>
        </w:rPr>
        <w:t>que</w:t>
      </w:r>
      <w:r>
        <w:rPr>
          <w:color w:val="231F20"/>
          <w:spacing w:val="8"/>
        </w:rPr>
        <w:t> </w:t>
      </w:r>
      <w:r>
        <w:rPr>
          <w:color w:val="231F20"/>
        </w:rPr>
        <w:t>celui</w:t>
      </w:r>
      <w:r>
        <w:rPr>
          <w:color w:val="231F20"/>
          <w:spacing w:val="8"/>
        </w:rPr>
        <w:t> </w:t>
      </w:r>
      <w:r>
        <w:rPr>
          <w:color w:val="231F20"/>
        </w:rPr>
        <w:t>appli-</w:t>
      </w:r>
      <w:r>
        <w:rPr/>
      </w:r>
    </w:p>
    <w:p>
      <w:pPr>
        <w:spacing w:line="232" w:lineRule="auto" w:before="6"/>
        <w:ind w:left="106" w:right="3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Bis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2020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sollen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jährlich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20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GWh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Strom</w:t>
      </w:r>
      <w:r>
        <w:rPr>
          <w:rFonts w:ascii="Theinhardt Regular Italic" w:hAnsi="Theinhardt Regular Italic"/>
          <w:i/>
          <w:color w:val="231F20"/>
          <w:spacing w:val="3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produziert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werden.</w:t>
      </w:r>
      <w:r>
        <w:rPr>
          <w:rFonts w:ascii="Theinhardt Regular Italic" w:hAnsi="Theinhardt Regular Italic"/>
          <w:i/>
          <w:color w:val="231F20"/>
          <w:spacing w:val="1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Längerfristig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möchte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4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Stadt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Lausanne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ein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Drittel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des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solaren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Poten-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tials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der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grossen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Gebäude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als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Solarkraftwerke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nutzen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rund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30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5"/>
          <w:sz w:val="18"/>
        </w:rPr>
        <w:t>GWh/a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Solarstrom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produ-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zieren.</w:t>
      </w:r>
      <w:r>
        <w:rPr>
          <w:rFonts w:ascii="Theinhardt Regular Italic" w:hAnsi="Theinhardt Regular Italic"/>
          <w:sz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z w:val="18"/>
        </w:rPr>
        <w:t>Um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Planung,</w:t>
      </w:r>
      <w:r>
        <w:rPr>
          <w:rFonts w:ascii="Theinhardt Regular Italic" w:hAnsi="Theinhardt Regular Italic"/>
          <w:i/>
          <w:color w:val="231F20"/>
          <w:spacing w:val="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Umsetzung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den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Betrieb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der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Photovoltaikanlagen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zu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meistern,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wurde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das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IT-Programm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CentralProd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ent-</w:t>
      </w:r>
      <w:r>
        <w:rPr>
          <w:rFonts w:ascii="Theinhardt Regular Italic" w:hAnsi="Theinhardt Regular Italic"/>
          <w:i/>
          <w:color w:val="231F20"/>
          <w:spacing w:val="3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wickelt.</w:t>
      </w:r>
      <w:r>
        <w:rPr>
          <w:rFonts w:ascii="Theinhardt Regular Italic" w:hAnsi="Theinhardt Regular Italic"/>
          <w:i/>
          <w:color w:val="231F20"/>
          <w:spacing w:val="3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Es</w:t>
      </w:r>
      <w:r>
        <w:rPr>
          <w:rFonts w:ascii="Theinhardt Regular Italic" w:hAnsi="Theinhardt Regular Italic"/>
          <w:i/>
          <w:color w:val="231F20"/>
          <w:spacing w:val="4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ermöglicht,</w:t>
      </w:r>
      <w:r>
        <w:rPr>
          <w:rFonts w:ascii="Theinhardt Regular Italic" w:hAnsi="Theinhardt Regular Italic"/>
          <w:i/>
          <w:color w:val="231F20"/>
          <w:spacing w:val="3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4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PV-Projekte</w:t>
      </w:r>
      <w:r>
        <w:rPr>
          <w:rFonts w:ascii="Theinhardt Regular Italic" w:hAnsi="Theinhardt Regular Italic"/>
          <w:i/>
          <w:color w:val="231F20"/>
          <w:spacing w:val="4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mit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einem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6-köpfigen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6"/>
          <w:sz w:val="18"/>
        </w:rPr>
        <w:t>Team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mit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nur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drei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Projekt-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leitern</w:t>
      </w:r>
      <w:r>
        <w:rPr>
          <w:rFonts w:ascii="Theinhardt Regular Italic" w:hAnsi="Theinhardt Regular Italic"/>
          <w:i/>
          <w:color w:val="231F20"/>
          <w:spacing w:val="4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4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einem</w:t>
      </w:r>
      <w:r>
        <w:rPr>
          <w:rFonts w:ascii="Theinhardt Regular Italic" w:hAnsi="Theinhardt Regular Italic"/>
          <w:i/>
          <w:color w:val="231F20"/>
          <w:spacing w:val="4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Verantwortlichen</w:t>
      </w:r>
      <w:r>
        <w:rPr>
          <w:rFonts w:ascii="Theinhardt Regular Italic" w:hAnsi="Theinhardt Regular Italic"/>
          <w:i/>
          <w:color w:val="231F20"/>
          <w:spacing w:val="4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für</w:t>
      </w:r>
      <w:r>
        <w:rPr>
          <w:rFonts w:ascii="Theinhardt Regular Italic" w:hAnsi="Theinhardt Regular Italic"/>
          <w:i/>
          <w:color w:val="231F20"/>
          <w:spacing w:val="4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4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Installation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zu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managen.</w:t>
      </w:r>
      <w:r>
        <w:rPr>
          <w:rFonts w:ascii="Theinhardt Regular Italic" w:hAnsi="Theinhardt Regular Italic"/>
          <w:i/>
          <w:color w:val="231F20"/>
          <w:spacing w:val="-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Dadurch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kann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erneu-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erbare Energie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zu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 einem wettbewerbsfähigen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Preis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angeboten werden.</w:t>
      </w:r>
      <w:r>
        <w:rPr>
          <w:rFonts w:ascii="Theinhardt Regular Italic" w:hAnsi="Theinhardt Regular Italic"/>
          <w:sz w:val="18"/>
        </w:rPr>
      </w:r>
    </w:p>
    <w:p>
      <w:pPr>
        <w:spacing w:line="232" w:lineRule="auto" w:before="0"/>
        <w:ind w:left="106" w:right="3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2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Informationen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zu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den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Photovoltaikan-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lagen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können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auf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dem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Solarlog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eingesehen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werden.</w:t>
      </w:r>
      <w:r>
        <w:rPr>
          <w:rFonts w:ascii="Theinhardt Regular Italic" w:hAnsi="Theinhardt Regular Italic"/>
          <w:i/>
          <w:color w:val="231F20"/>
          <w:spacing w:val="1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Diesen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findet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man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auf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der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Website</w:t>
      </w:r>
      <w:r>
        <w:rPr>
          <w:rFonts w:ascii="Theinhardt Regular Italic" w:hAnsi="Theinhardt Regular Italic"/>
          <w:i/>
          <w:color w:val="231F20"/>
          <w:spacing w:val="3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von</w:t>
      </w:r>
      <w:r>
        <w:rPr>
          <w:rFonts w:ascii="Theinhardt Regular Italic" w:hAnsi="Theinhardt Regular Italic"/>
          <w:i/>
          <w:color w:val="231F20"/>
          <w:spacing w:val="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SI-REN.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So</w:t>
      </w:r>
      <w:r>
        <w:rPr>
          <w:rFonts w:ascii="Theinhardt Regular Italic" w:hAnsi="Theinhardt Regular Italic"/>
          <w:i/>
          <w:color w:val="231F20"/>
          <w:spacing w:val="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kann</w:t>
      </w:r>
      <w:r>
        <w:rPr>
          <w:rFonts w:ascii="Theinhardt Regular Italic" w:hAnsi="Theinhardt Regular Italic"/>
          <w:i/>
          <w:color w:val="231F20"/>
          <w:spacing w:val="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sich</w:t>
      </w:r>
      <w:r>
        <w:rPr>
          <w:rFonts w:ascii="Theinhardt Regular Italic" w:hAnsi="Theinhardt Regular Italic"/>
          <w:i/>
          <w:color w:val="231F20"/>
          <w:spacing w:val="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5"/>
          <w:sz w:val="18"/>
        </w:rPr>
        <w:t>jede/r</w:t>
      </w:r>
      <w:r>
        <w:rPr>
          <w:rFonts w:ascii="Theinhardt Regular Italic" w:hAnsi="Theinhardt Regular Italic"/>
          <w:i/>
          <w:color w:val="231F20"/>
          <w:spacing w:val="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über</w:t>
      </w:r>
      <w:r>
        <w:rPr>
          <w:rFonts w:ascii="Theinhardt Regular Italic" w:hAnsi="Theinhardt Regular Italic"/>
          <w:i/>
          <w:color w:val="231F20"/>
          <w:spacing w:val="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am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jeweiligen</w:t>
      </w:r>
      <w:r>
        <w:rPr>
          <w:rFonts w:ascii="Theinhardt Regular Italic" w:hAnsi="Theinhardt Regular Italic"/>
          <w:i/>
          <w:color w:val="231F20"/>
          <w:spacing w:val="-1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5"/>
          <w:sz w:val="18"/>
        </w:rPr>
        <w:t>Tag</w:t>
      </w:r>
      <w:r>
        <w:rPr>
          <w:rFonts w:ascii="Theinhardt Regular Italic" w:hAnsi="Theinhardt Regular Italic"/>
          <w:i/>
          <w:color w:val="231F20"/>
          <w:spacing w:val="-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produzierte</w:t>
      </w:r>
      <w:r>
        <w:rPr>
          <w:rFonts w:ascii="Theinhardt Regular Italic" w:hAnsi="Theinhardt Regular Italic"/>
          <w:i/>
          <w:color w:val="231F20"/>
          <w:spacing w:val="-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Strommenge</w:t>
      </w:r>
      <w:r>
        <w:rPr>
          <w:rFonts w:ascii="Theinhardt Regular Italic" w:hAnsi="Theinhardt Regular Italic"/>
          <w:i/>
          <w:color w:val="231F20"/>
          <w:spacing w:val="-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infor-</w:t>
      </w:r>
      <w:r>
        <w:rPr>
          <w:rFonts w:ascii="Theinhardt Regular Italic" w:hAnsi="Theinhardt Regular Italic"/>
          <w:i/>
          <w:color w:val="231F20"/>
          <w:spacing w:val="4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mieren.</w:t>
      </w:r>
      <w:r>
        <w:rPr>
          <w:rFonts w:ascii="Theinhardt Regular Italic" w:hAnsi="Theinhardt Regular Italic"/>
          <w:sz w:val="18"/>
        </w:rPr>
      </w:r>
    </w:p>
    <w:p>
      <w:pPr>
        <w:spacing w:line="232" w:lineRule="auto" w:before="0"/>
        <w:ind w:left="106" w:right="3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2"/>
          <w:sz w:val="18"/>
        </w:rPr>
        <w:t>Seit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Anfang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2017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bietet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SI-REN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in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Part-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nerschaft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mit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den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Services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Industriels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Lausanne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auch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eine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Lösung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zum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Solar-Con-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tracting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an.</w:t>
      </w:r>
      <w:r>
        <w:rPr>
          <w:rFonts w:ascii="Theinhardt Regular Italic" w:hAnsi="Theinhardt Regular Italic"/>
          <w:i/>
          <w:color w:val="231F20"/>
          <w:spacing w:val="-1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Dadurch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können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Hauseigentümer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ihr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Gebäude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ohne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Investitionen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kostenlos</w:t>
      </w:r>
      <w:r>
        <w:rPr>
          <w:rFonts w:ascii="Theinhardt Regular Italic" w:hAnsi="Theinhardt Regular Italic"/>
          <w:i/>
          <w:color w:val="231F2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mit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einer</w:t>
      </w:r>
      <w:r>
        <w:rPr>
          <w:rFonts w:ascii="Theinhardt Regular Italic" w:hAnsi="Theinhardt Regular Italic"/>
          <w:i/>
          <w:color w:val="231F20"/>
          <w:spacing w:val="2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Solaranlage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ausrüsten</w:t>
      </w:r>
      <w:r>
        <w:rPr>
          <w:rFonts w:ascii="Theinhardt Regular Italic" w:hAnsi="Theinhardt Regular Italic"/>
          <w:i/>
          <w:color w:val="231F20"/>
          <w:spacing w:val="2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den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Strom</w:t>
      </w:r>
      <w:r>
        <w:rPr>
          <w:rFonts w:ascii="Theinhardt Regular Italic" w:hAnsi="Theinhardt Regular Italic"/>
          <w:i/>
          <w:color w:val="231F20"/>
          <w:spacing w:val="21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vom</w:t>
      </w:r>
      <w:r>
        <w:rPr>
          <w:rFonts w:ascii="Theinhardt Regular Italic" w:hAnsi="Theinhardt Regular Italic"/>
          <w:i/>
          <w:color w:val="231F20"/>
          <w:spacing w:val="-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eigenen</w:t>
      </w:r>
      <w:r>
        <w:rPr>
          <w:rFonts w:ascii="Theinhardt Regular Italic" w:hAnsi="Theinhardt Regular Italic"/>
          <w:i/>
          <w:color w:val="231F20"/>
          <w:spacing w:val="-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Dach</w:t>
      </w:r>
      <w:r>
        <w:rPr>
          <w:rFonts w:ascii="Theinhardt Regular Italic" w:hAnsi="Theinhardt Regular Italic"/>
          <w:i/>
          <w:color w:val="231F20"/>
          <w:spacing w:val="-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zu</w:t>
      </w:r>
      <w:r>
        <w:rPr>
          <w:rFonts w:ascii="Theinhardt Regular Italic" w:hAnsi="Theinhardt Regular Italic"/>
          <w:i/>
          <w:color w:val="231F20"/>
          <w:spacing w:val="-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einem</w:t>
      </w:r>
      <w:r>
        <w:rPr>
          <w:rFonts w:ascii="Theinhardt Regular Italic" w:hAnsi="Theinhardt Regular Italic"/>
          <w:i/>
          <w:color w:val="231F20"/>
          <w:spacing w:val="-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günstigeren</w:t>
      </w:r>
      <w:r>
        <w:rPr>
          <w:rFonts w:ascii="Theinhardt Regular Italic" w:hAnsi="Theinhardt Regular Italic"/>
          <w:i/>
          <w:color w:val="231F20"/>
          <w:spacing w:val="-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Preis</w:t>
      </w:r>
      <w:r>
        <w:rPr>
          <w:rFonts w:ascii="Theinhardt Regular Italic" w:hAnsi="Theinhardt Regular Italic"/>
          <w:i/>
          <w:color w:val="231F20"/>
          <w:spacing w:val="4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als</w:t>
      </w:r>
      <w:r>
        <w:rPr>
          <w:rFonts w:ascii="Theinhardt Regular Italic" w:hAnsi="Theinhardt Regular Italic"/>
          <w:i/>
          <w:color w:val="231F20"/>
          <w:spacing w:val="1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aus</w:t>
      </w:r>
      <w:r>
        <w:rPr>
          <w:rFonts w:ascii="Theinhardt Regular Italic" w:hAnsi="Theinhardt Regular Italic"/>
          <w:i/>
          <w:color w:val="231F20"/>
          <w:spacing w:val="1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dem</w:t>
      </w:r>
      <w:r>
        <w:rPr>
          <w:rFonts w:ascii="Theinhardt Regular Italic" w:hAnsi="Theinhardt Regular Italic"/>
          <w:i/>
          <w:color w:val="231F20"/>
          <w:spacing w:val="1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öffentlichen</w:t>
      </w:r>
      <w:r>
        <w:rPr>
          <w:rFonts w:ascii="Theinhardt Regular Italic" w:hAnsi="Theinhardt Regular Italic"/>
          <w:i/>
          <w:color w:val="231F20"/>
          <w:spacing w:val="1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Netz</w:t>
      </w:r>
      <w:r>
        <w:rPr>
          <w:rFonts w:ascii="Theinhardt Regular Italic" w:hAnsi="Theinhardt Regular Italic"/>
          <w:i/>
          <w:color w:val="231F20"/>
          <w:spacing w:val="1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beziehen.</w:t>
      </w:r>
      <w:r>
        <w:rPr>
          <w:rFonts w:ascii="Theinhardt Regular Italic" w:hAnsi="Theinhardt Regular Italic"/>
          <w:i/>
          <w:color w:val="231F20"/>
          <w:spacing w:val="6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Die</w:t>
      </w:r>
      <w:r>
        <w:rPr>
          <w:rFonts w:ascii="Theinhardt Regular Italic" w:hAnsi="Theinhardt Regular Italic"/>
          <w:sz w:val="18"/>
        </w:rPr>
      </w:r>
    </w:p>
    <w:p>
      <w:pPr>
        <w:numPr>
          <w:ilvl w:val="0"/>
          <w:numId w:val="1"/>
        </w:numPr>
        <w:tabs>
          <w:tab w:pos="347" w:val="left" w:leader="none"/>
          <w:tab w:pos="2687" w:val="left" w:leader="none"/>
        </w:tabs>
        <w:spacing w:line="142" w:lineRule="exact" w:before="0"/>
        <w:ind w:left="346" w:right="0" w:hanging="24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br w:type="column"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Dépôt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TL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Perrelet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1’553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kWc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numPr>
          <w:ilvl w:val="0"/>
          <w:numId w:val="1"/>
        </w:numPr>
        <w:tabs>
          <w:tab w:pos="347" w:val="left" w:leader="none"/>
          <w:tab w:pos="2689" w:val="left" w:leader="none"/>
        </w:tabs>
        <w:spacing w:line="160" w:lineRule="exact" w:before="0"/>
        <w:ind w:left="346" w:right="0" w:hanging="24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Debrunner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Crissier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1’226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kWc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numPr>
          <w:ilvl w:val="0"/>
          <w:numId w:val="1"/>
        </w:numPr>
        <w:tabs>
          <w:tab w:pos="347" w:val="left" w:leader="none"/>
          <w:tab w:pos="2693" w:val="left" w:leader="none"/>
        </w:tabs>
        <w:spacing w:line="207" w:lineRule="auto" w:before="5"/>
        <w:ind w:left="346" w:right="213" w:hanging="24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Aéroport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Lausanne-Blécherette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1’041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kWc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(3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installations: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653, 202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186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kWp)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numPr>
          <w:ilvl w:val="0"/>
          <w:numId w:val="2"/>
        </w:numPr>
        <w:tabs>
          <w:tab w:pos="347" w:val="left" w:leader="none"/>
          <w:tab w:pos="2798" w:val="left" w:leader="none"/>
        </w:tabs>
        <w:spacing w:line="154" w:lineRule="exact" w:before="0"/>
        <w:ind w:left="346" w:right="0" w:hanging="24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Halles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sud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Beaulieu</w:t>
        <w:tab/>
        <w:t>407</w:t>
      </w:r>
      <w:r>
        <w:rPr>
          <w:rFonts w:ascii="Theinhardt Regular"/>
          <w:color w:val="231F20"/>
          <w:sz w:val="14"/>
        </w:rPr>
        <w:t> kWc</w:t>
      </w:r>
      <w:r>
        <w:rPr>
          <w:rFonts w:ascii="Theinhardt Regular"/>
          <w:sz w:val="14"/>
        </w:rPr>
      </w:r>
    </w:p>
    <w:p>
      <w:pPr>
        <w:numPr>
          <w:ilvl w:val="0"/>
          <w:numId w:val="2"/>
        </w:numPr>
        <w:tabs>
          <w:tab w:pos="347" w:val="left" w:leader="none"/>
          <w:tab w:pos="2800" w:val="left" w:leader="none"/>
        </w:tabs>
        <w:spacing w:line="160" w:lineRule="exact" w:before="0"/>
        <w:ind w:left="346" w:right="0" w:hanging="24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Service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Achat</w:t>
      </w:r>
      <w:r>
        <w:rPr>
          <w:rFonts w:ascii="Theinhardt Regular"/>
          <w:color w:val="231F20"/>
          <w:sz w:val="14"/>
        </w:rPr>
        <w:t> &amp; </w:t>
      </w:r>
      <w:r>
        <w:rPr>
          <w:rFonts w:ascii="Theinhardt Regular"/>
          <w:color w:val="231F20"/>
          <w:spacing w:val="1"/>
          <w:sz w:val="14"/>
        </w:rPr>
        <w:t>Logistique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(SALV)</w:t>
        <w:tab/>
      </w:r>
      <w:r>
        <w:rPr>
          <w:rFonts w:ascii="Theinhardt Regular"/>
          <w:color w:val="231F20"/>
          <w:sz w:val="14"/>
        </w:rPr>
        <w:t>395 kWc</w:t>
      </w:r>
      <w:r>
        <w:rPr>
          <w:rFonts w:ascii="Theinhardt Regular"/>
          <w:sz w:val="14"/>
        </w:rPr>
      </w:r>
    </w:p>
    <w:p>
      <w:pPr>
        <w:numPr>
          <w:ilvl w:val="0"/>
          <w:numId w:val="2"/>
        </w:numPr>
        <w:tabs>
          <w:tab w:pos="347" w:val="left" w:leader="none"/>
          <w:tab w:pos="2801" w:val="left" w:leader="none"/>
        </w:tabs>
        <w:spacing w:line="160" w:lineRule="exact" w:before="0"/>
        <w:ind w:left="346" w:right="0" w:hanging="24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CGN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chantier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naval</w:t>
        <w:tab/>
      </w:r>
      <w:r>
        <w:rPr>
          <w:rFonts w:ascii="Theinhardt Regular"/>
          <w:color w:val="231F20"/>
          <w:sz w:val="14"/>
        </w:rPr>
        <w:t>359 kWc</w:t>
      </w:r>
      <w:r>
        <w:rPr>
          <w:rFonts w:ascii="Theinhardt Regular"/>
          <w:sz w:val="14"/>
        </w:rPr>
      </w:r>
    </w:p>
    <w:p>
      <w:pPr>
        <w:numPr>
          <w:ilvl w:val="0"/>
          <w:numId w:val="2"/>
        </w:numPr>
        <w:tabs>
          <w:tab w:pos="347" w:val="left" w:leader="none"/>
          <w:tab w:pos="2799" w:val="left" w:leader="none"/>
        </w:tabs>
        <w:spacing w:line="160" w:lineRule="exact" w:before="0"/>
        <w:ind w:left="346" w:right="0" w:hanging="24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Piscine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Mon-Repos</w:t>
        <w:tab/>
      </w:r>
      <w:r>
        <w:rPr>
          <w:rFonts w:ascii="Theinhardt Regular"/>
          <w:color w:val="231F20"/>
          <w:sz w:val="14"/>
        </w:rPr>
        <w:t>330 kWc</w:t>
      </w:r>
      <w:r>
        <w:rPr>
          <w:rFonts w:ascii="Theinhardt Regular"/>
          <w:sz w:val="14"/>
        </w:rPr>
      </w:r>
    </w:p>
    <w:p>
      <w:pPr>
        <w:numPr>
          <w:ilvl w:val="0"/>
          <w:numId w:val="2"/>
        </w:numPr>
        <w:tabs>
          <w:tab w:pos="343" w:val="left" w:leader="none"/>
          <w:tab w:pos="2800" w:val="left" w:leader="none"/>
        </w:tabs>
        <w:spacing w:line="160" w:lineRule="exact" w:before="0"/>
        <w:ind w:left="342" w:right="0" w:hanging="236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Centre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tir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Vernand</w:t>
        <w:tab/>
      </w:r>
      <w:r>
        <w:rPr>
          <w:rFonts w:ascii="Theinhardt Regular"/>
          <w:color w:val="231F20"/>
          <w:sz w:val="14"/>
        </w:rPr>
        <w:t>299 kWc</w:t>
      </w:r>
      <w:r>
        <w:rPr>
          <w:rFonts w:ascii="Theinhardt Regular"/>
          <w:sz w:val="14"/>
        </w:rPr>
      </w:r>
    </w:p>
    <w:p>
      <w:pPr>
        <w:numPr>
          <w:ilvl w:val="0"/>
          <w:numId w:val="2"/>
        </w:numPr>
        <w:tabs>
          <w:tab w:pos="328" w:val="left" w:leader="none"/>
          <w:tab w:pos="2807" w:val="left" w:leader="none"/>
        </w:tabs>
        <w:spacing w:line="160" w:lineRule="exact" w:before="0"/>
        <w:ind w:left="327" w:right="0" w:hanging="221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Manège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Chalet-à-Gobet</w:t>
        <w:tab/>
      </w:r>
      <w:r>
        <w:rPr>
          <w:rFonts w:ascii="Theinhardt Regular" w:hAnsi="Theinhardt Regular"/>
          <w:color w:val="231F20"/>
          <w:spacing w:val="-2"/>
          <w:sz w:val="14"/>
        </w:rPr>
        <w:t>271</w:t>
      </w:r>
      <w:r>
        <w:rPr>
          <w:rFonts w:ascii="Theinhardt Regular" w:hAnsi="Theinhardt Regular"/>
          <w:color w:val="231F20"/>
          <w:sz w:val="14"/>
        </w:rPr>
        <w:t>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2"/>
        </w:numPr>
        <w:tabs>
          <w:tab w:pos="340" w:val="left" w:leader="none"/>
          <w:tab w:pos="2813" w:val="left" w:leader="none"/>
        </w:tabs>
        <w:spacing w:line="160" w:lineRule="exact" w:before="0"/>
        <w:ind w:left="339" w:right="0" w:hanging="233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Regommex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Romanel</w:t>
        <w:tab/>
      </w:r>
      <w:r>
        <w:rPr>
          <w:rFonts w:ascii="Theinhardt Regular"/>
          <w:color w:val="231F20"/>
          <w:spacing w:val="-4"/>
          <w:sz w:val="14"/>
        </w:rPr>
        <w:t>213</w:t>
      </w:r>
      <w:r>
        <w:rPr>
          <w:rFonts w:ascii="Theinhardt Regular"/>
          <w:color w:val="231F20"/>
          <w:sz w:val="14"/>
        </w:rPr>
        <w:t> kWc</w:t>
      </w:r>
      <w:r>
        <w:rPr>
          <w:rFonts w:ascii="Theinhardt Regular"/>
          <w:sz w:val="14"/>
        </w:rPr>
      </w:r>
    </w:p>
    <w:p>
      <w:pPr>
        <w:numPr>
          <w:ilvl w:val="0"/>
          <w:numId w:val="2"/>
        </w:numPr>
        <w:tabs>
          <w:tab w:pos="340" w:val="left" w:leader="none"/>
          <w:tab w:pos="2798" w:val="left" w:leader="none"/>
        </w:tabs>
        <w:spacing w:line="160" w:lineRule="exact" w:before="0"/>
        <w:ind w:left="339" w:right="0" w:hanging="233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Nestec</w:t>
        <w:tab/>
      </w:r>
      <w:r>
        <w:rPr>
          <w:rFonts w:ascii="Theinhardt Regular"/>
          <w:color w:val="231F20"/>
          <w:spacing w:val="1"/>
          <w:sz w:val="14"/>
        </w:rPr>
        <w:t>208</w:t>
      </w:r>
      <w:r>
        <w:rPr>
          <w:rFonts w:ascii="Theinhardt Regular"/>
          <w:color w:val="231F20"/>
          <w:sz w:val="14"/>
        </w:rPr>
        <w:t> kWc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32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(3 </w:t>
      </w:r>
      <w:r>
        <w:rPr>
          <w:rFonts w:ascii="Theinhardt Regular"/>
          <w:color w:val="231F20"/>
          <w:spacing w:val="1"/>
          <w:sz w:val="14"/>
        </w:rPr>
        <w:t>installations: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77,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67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64</w:t>
      </w:r>
      <w:r>
        <w:rPr>
          <w:rFonts w:ascii="Theinhardt Regular"/>
          <w:color w:val="231F20"/>
          <w:sz w:val="14"/>
        </w:rPr>
        <w:t> kWc)</w:t>
      </w:r>
      <w:r>
        <w:rPr>
          <w:rFonts w:ascii="Theinhardt Regular"/>
          <w:sz w:val="14"/>
        </w:rPr>
      </w:r>
    </w:p>
    <w:p>
      <w:pPr>
        <w:numPr>
          <w:ilvl w:val="0"/>
          <w:numId w:val="3"/>
        </w:numPr>
        <w:tabs>
          <w:tab w:pos="342" w:val="left" w:leader="none"/>
          <w:tab w:pos="2807" w:val="left" w:leader="none"/>
        </w:tabs>
        <w:spacing w:line="160" w:lineRule="exact" w:before="0"/>
        <w:ind w:left="341" w:right="0" w:hanging="235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Collège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des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Pâquis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St-Sulpice</w:t>
        <w:tab/>
      </w:r>
      <w:r>
        <w:rPr>
          <w:rFonts w:ascii="Theinhardt Regular" w:hAnsi="Theinhardt Regular"/>
          <w:color w:val="231F20"/>
          <w:spacing w:val="-2"/>
          <w:sz w:val="14"/>
        </w:rPr>
        <w:t>154</w:t>
      </w:r>
      <w:r>
        <w:rPr>
          <w:rFonts w:ascii="Theinhardt Regular" w:hAnsi="Theinhardt Regular"/>
          <w:color w:val="231F20"/>
          <w:sz w:val="14"/>
        </w:rPr>
        <w:t>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3"/>
        </w:numPr>
        <w:tabs>
          <w:tab w:pos="328" w:val="left" w:leader="none"/>
          <w:tab w:pos="2807" w:val="left" w:leader="none"/>
        </w:tabs>
        <w:spacing w:line="160" w:lineRule="exact" w:before="0"/>
        <w:ind w:left="327" w:right="0" w:hanging="221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Collège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Boissonnet</w:t>
        <w:tab/>
      </w:r>
      <w:r>
        <w:rPr>
          <w:rFonts w:ascii="Theinhardt Regular" w:hAnsi="Theinhardt Regular"/>
          <w:color w:val="231F20"/>
          <w:spacing w:val="-2"/>
          <w:sz w:val="14"/>
        </w:rPr>
        <w:t>150</w:t>
      </w:r>
      <w:r>
        <w:rPr>
          <w:rFonts w:ascii="Theinhardt Regular" w:hAnsi="Theinhardt Regular"/>
          <w:color w:val="231F20"/>
          <w:sz w:val="14"/>
        </w:rPr>
        <w:t>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3"/>
        </w:numPr>
        <w:tabs>
          <w:tab w:pos="342" w:val="left" w:leader="none"/>
          <w:tab w:pos="2816" w:val="left" w:leader="none"/>
        </w:tabs>
        <w:spacing w:line="160" w:lineRule="exact" w:before="0"/>
        <w:ind w:left="341" w:right="0" w:hanging="235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World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Archery</w:t>
        <w:tab/>
      </w:r>
      <w:r>
        <w:rPr>
          <w:rFonts w:ascii="Theinhardt Regular"/>
          <w:color w:val="231F20"/>
          <w:spacing w:val="-5"/>
          <w:sz w:val="14"/>
        </w:rPr>
        <w:t>147</w:t>
      </w:r>
      <w:r>
        <w:rPr>
          <w:rFonts w:ascii="Theinhardt Regular"/>
          <w:color w:val="231F20"/>
          <w:sz w:val="14"/>
        </w:rPr>
        <w:t> kWc</w:t>
      </w:r>
      <w:r>
        <w:rPr>
          <w:rFonts w:ascii="Theinhardt Regular"/>
          <w:sz w:val="14"/>
        </w:rPr>
      </w:r>
    </w:p>
    <w:p>
      <w:pPr>
        <w:numPr>
          <w:ilvl w:val="0"/>
          <w:numId w:val="3"/>
        </w:numPr>
        <w:tabs>
          <w:tab w:pos="340" w:val="left" w:leader="none"/>
          <w:tab w:pos="2811" w:val="left" w:leader="none"/>
        </w:tabs>
        <w:spacing w:line="160" w:lineRule="exact" w:before="0"/>
        <w:ind w:left="339" w:right="0" w:hanging="233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Centre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autoroutier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Blécherette</w:t>
        <w:tab/>
      </w:r>
      <w:r>
        <w:rPr>
          <w:rFonts w:ascii="Theinhardt Regular" w:hAnsi="Theinhardt Regular"/>
          <w:color w:val="231F20"/>
          <w:spacing w:val="-3"/>
          <w:sz w:val="14"/>
        </w:rPr>
        <w:t>127</w:t>
      </w:r>
      <w:r>
        <w:rPr>
          <w:rFonts w:ascii="Theinhardt Regular" w:hAnsi="Theinhardt Regular"/>
          <w:color w:val="231F20"/>
          <w:sz w:val="14"/>
        </w:rPr>
        <w:t>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3"/>
        </w:numPr>
        <w:tabs>
          <w:tab w:pos="349" w:val="left" w:leader="none"/>
          <w:tab w:pos="2811" w:val="left" w:leader="none"/>
        </w:tabs>
        <w:spacing w:line="160" w:lineRule="exact" w:before="0"/>
        <w:ind w:left="348" w:right="0" w:hanging="242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Collège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d’Entre-Bois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125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kWc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numPr>
          <w:ilvl w:val="0"/>
          <w:numId w:val="3"/>
        </w:numPr>
        <w:tabs>
          <w:tab w:pos="337" w:val="left" w:leader="none"/>
          <w:tab w:pos="2813" w:val="left" w:leader="none"/>
        </w:tabs>
        <w:spacing w:line="160" w:lineRule="exact" w:before="0"/>
        <w:ind w:left="336" w:right="0" w:hanging="23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Collège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Censuy</w:t>
        <w:tab/>
      </w:r>
      <w:r>
        <w:rPr>
          <w:rFonts w:ascii="Theinhardt Regular" w:hAnsi="Theinhardt Regular"/>
          <w:color w:val="231F20"/>
          <w:spacing w:val="-4"/>
          <w:sz w:val="14"/>
        </w:rPr>
        <w:t>124</w:t>
      </w:r>
      <w:r>
        <w:rPr>
          <w:rFonts w:ascii="Theinhardt Regular" w:hAnsi="Theinhardt Regular"/>
          <w:color w:val="231F20"/>
          <w:sz w:val="14"/>
        </w:rPr>
        <w:t>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3"/>
        </w:numPr>
        <w:tabs>
          <w:tab w:pos="348" w:val="left" w:leader="none"/>
          <w:tab w:pos="2822" w:val="left" w:leader="none"/>
        </w:tabs>
        <w:spacing w:line="160" w:lineRule="exact" w:before="0"/>
        <w:ind w:left="347" w:right="0" w:hanging="241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Collège</w:t>
      </w:r>
      <w:r>
        <w:rPr>
          <w:rFonts w:ascii="Theinhardt Regular" w:hAnsi="Theinhardt Regular"/>
          <w:color w:val="231F20"/>
          <w:sz w:val="14"/>
        </w:rPr>
        <w:t> du </w:t>
      </w:r>
      <w:r>
        <w:rPr>
          <w:rFonts w:ascii="Theinhardt Regular" w:hAnsi="Theinhardt Regular"/>
          <w:color w:val="231F20"/>
          <w:spacing w:val="1"/>
          <w:sz w:val="14"/>
        </w:rPr>
        <w:t>Vieux-Moulin</w:t>
        <w:tab/>
      </w:r>
      <w:r>
        <w:rPr>
          <w:rFonts w:ascii="Theinhardt Regular" w:hAnsi="Theinhardt Regular"/>
          <w:color w:val="231F20"/>
          <w:spacing w:val="-7"/>
          <w:sz w:val="14"/>
        </w:rPr>
        <w:t>114</w:t>
      </w:r>
      <w:r>
        <w:rPr>
          <w:rFonts w:ascii="Theinhardt Regular" w:hAnsi="Theinhardt Regular"/>
          <w:color w:val="231F20"/>
          <w:sz w:val="14"/>
        </w:rPr>
        <w:t>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3"/>
        </w:numPr>
        <w:tabs>
          <w:tab w:pos="347" w:val="left" w:leader="none"/>
          <w:tab w:pos="2804" w:val="left" w:leader="none"/>
        </w:tabs>
        <w:spacing w:line="160" w:lineRule="exact" w:before="0"/>
        <w:ind w:left="346" w:right="0" w:hanging="24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Port-Franc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18</w:t>
        <w:tab/>
      </w:r>
      <w:r>
        <w:rPr>
          <w:rFonts w:ascii="Theinhardt Regular"/>
          <w:color w:val="231F20"/>
          <w:spacing w:val="-1"/>
          <w:sz w:val="14"/>
        </w:rPr>
        <w:t>109</w:t>
      </w:r>
      <w:r>
        <w:rPr>
          <w:rFonts w:ascii="Theinhardt Regular"/>
          <w:color w:val="231F20"/>
          <w:sz w:val="14"/>
        </w:rPr>
        <w:t> kWc</w:t>
      </w:r>
      <w:r>
        <w:rPr>
          <w:rFonts w:ascii="Theinhardt Regular"/>
          <w:sz w:val="14"/>
        </w:rPr>
      </w:r>
    </w:p>
    <w:p>
      <w:pPr>
        <w:numPr>
          <w:ilvl w:val="0"/>
          <w:numId w:val="3"/>
        </w:numPr>
        <w:tabs>
          <w:tab w:pos="345" w:val="left" w:leader="none"/>
          <w:tab w:pos="2881" w:val="left" w:leader="none"/>
        </w:tabs>
        <w:spacing w:line="160" w:lineRule="exact" w:before="0"/>
        <w:ind w:left="344" w:right="0" w:hanging="238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Collège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Coquerellaz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Écublens</w:t>
        <w:tab/>
        <w:t>90</w:t>
      </w:r>
      <w:r>
        <w:rPr>
          <w:rFonts w:ascii="Theinhardt Regular" w:hAnsi="Theinhardt Regular"/>
          <w:color w:val="231F20"/>
          <w:sz w:val="14"/>
        </w:rPr>
        <w:t>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3"/>
        </w:numPr>
        <w:tabs>
          <w:tab w:pos="347" w:val="left" w:leader="none"/>
          <w:tab w:pos="2883" w:val="left" w:leader="none"/>
        </w:tabs>
        <w:spacing w:line="160" w:lineRule="exact" w:before="0"/>
        <w:ind w:left="346" w:right="0" w:hanging="24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Boscal</w:t>
        <w:tab/>
      </w:r>
      <w:r>
        <w:rPr>
          <w:rFonts w:ascii="Theinhardt Regular"/>
          <w:color w:val="231F20"/>
          <w:sz w:val="14"/>
        </w:rPr>
        <w:t>89 kWc</w:t>
      </w:r>
      <w:r>
        <w:rPr>
          <w:rFonts w:ascii="Theinhardt Regular"/>
          <w:sz w:val="14"/>
        </w:rPr>
      </w:r>
    </w:p>
    <w:p>
      <w:pPr>
        <w:numPr>
          <w:ilvl w:val="0"/>
          <w:numId w:val="3"/>
        </w:numPr>
        <w:tabs>
          <w:tab w:pos="348" w:val="left" w:leader="none"/>
          <w:tab w:pos="2883" w:val="left" w:leader="none"/>
        </w:tabs>
        <w:spacing w:line="160" w:lineRule="exact" w:before="0"/>
        <w:ind w:left="347" w:right="0" w:hanging="241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Collège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Chailly</w:t>
        <w:tab/>
      </w:r>
      <w:r>
        <w:rPr>
          <w:rFonts w:ascii="Theinhardt Regular" w:hAnsi="Theinhardt Regular"/>
          <w:color w:val="231F20"/>
          <w:sz w:val="14"/>
        </w:rPr>
        <w:t>85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3"/>
        </w:numPr>
        <w:tabs>
          <w:tab w:pos="337" w:val="left" w:leader="none"/>
          <w:tab w:pos="2888" w:val="left" w:leader="none"/>
        </w:tabs>
        <w:spacing w:line="160" w:lineRule="exact" w:before="0"/>
        <w:ind w:left="336" w:right="0" w:hanging="23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Haute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école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pédagogique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(HEP)</w:t>
        <w:tab/>
      </w:r>
      <w:r>
        <w:rPr>
          <w:rFonts w:ascii="Theinhardt Regular" w:hAnsi="Theinhardt Regular"/>
          <w:color w:val="231F20"/>
          <w:spacing w:val="-2"/>
          <w:sz w:val="14"/>
        </w:rPr>
        <w:t>81</w:t>
      </w:r>
      <w:r>
        <w:rPr>
          <w:rFonts w:ascii="Theinhardt Regular" w:hAnsi="Theinhardt Regular"/>
          <w:color w:val="231F20"/>
          <w:sz w:val="14"/>
        </w:rPr>
        <w:t>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3"/>
        </w:numPr>
        <w:tabs>
          <w:tab w:pos="348" w:val="left" w:leader="none"/>
          <w:tab w:pos="2883" w:val="left" w:leader="none"/>
        </w:tabs>
        <w:spacing w:line="160" w:lineRule="exact" w:before="0"/>
        <w:ind w:left="347" w:right="0" w:hanging="241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Collège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des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Bergières</w:t>
        <w:tab/>
      </w:r>
      <w:r>
        <w:rPr>
          <w:rFonts w:ascii="Theinhardt Regular" w:hAnsi="Theinhardt Regular"/>
          <w:color w:val="231F20"/>
          <w:sz w:val="14"/>
        </w:rPr>
        <w:t>58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3"/>
        </w:numPr>
        <w:tabs>
          <w:tab w:pos="347" w:val="left" w:leader="none"/>
          <w:tab w:pos="2882" w:val="left" w:leader="none"/>
        </w:tabs>
        <w:spacing w:line="160" w:lineRule="exact" w:before="0"/>
        <w:ind w:left="346" w:right="0" w:hanging="24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Garderie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Cheseaux</w:t>
        <w:tab/>
      </w:r>
      <w:r>
        <w:rPr>
          <w:rFonts w:ascii="Theinhardt Regular"/>
          <w:color w:val="231F20"/>
          <w:spacing w:val="1"/>
          <w:sz w:val="14"/>
        </w:rPr>
        <w:t>48</w:t>
      </w:r>
      <w:r>
        <w:rPr>
          <w:rFonts w:ascii="Theinhardt Regular"/>
          <w:color w:val="231F20"/>
          <w:sz w:val="14"/>
        </w:rPr>
        <w:t> kWc</w:t>
      </w:r>
      <w:r>
        <w:rPr>
          <w:rFonts w:ascii="Theinhardt Regular"/>
          <w:sz w:val="14"/>
        </w:rPr>
      </w:r>
    </w:p>
    <w:p>
      <w:pPr>
        <w:numPr>
          <w:ilvl w:val="0"/>
          <w:numId w:val="3"/>
        </w:numPr>
        <w:tabs>
          <w:tab w:pos="350" w:val="left" w:leader="none"/>
          <w:tab w:pos="2890" w:val="left" w:leader="none"/>
        </w:tabs>
        <w:spacing w:line="160" w:lineRule="exact" w:before="0"/>
        <w:ind w:left="349" w:right="0" w:hanging="243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Piscine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Montétan</w:t>
        <w:tab/>
      </w:r>
      <w:r>
        <w:rPr>
          <w:rFonts w:ascii="Theinhardt Regular" w:hAnsi="Theinhardt Regular"/>
          <w:color w:val="231F20"/>
          <w:spacing w:val="-3"/>
          <w:sz w:val="14"/>
        </w:rPr>
        <w:t>47</w:t>
      </w:r>
      <w:r>
        <w:rPr>
          <w:rFonts w:ascii="Theinhardt Regular" w:hAnsi="Theinhardt Regular"/>
          <w:color w:val="231F20"/>
          <w:sz w:val="14"/>
        </w:rPr>
        <w:t>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3"/>
        </w:numPr>
        <w:tabs>
          <w:tab w:pos="337" w:val="left" w:leader="none"/>
          <w:tab w:pos="2884" w:val="left" w:leader="none"/>
        </w:tabs>
        <w:spacing w:line="160" w:lineRule="exact" w:before="0"/>
        <w:ind w:left="336" w:right="0" w:hanging="23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Collège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Bois-Murat</w:t>
        <w:tab/>
      </w:r>
      <w:r>
        <w:rPr>
          <w:rFonts w:ascii="Theinhardt Regular" w:hAnsi="Theinhardt Regular"/>
          <w:color w:val="231F20"/>
          <w:sz w:val="14"/>
        </w:rPr>
        <w:t>38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3"/>
        </w:numPr>
        <w:tabs>
          <w:tab w:pos="347" w:val="left" w:leader="none"/>
        </w:tabs>
        <w:spacing w:line="160" w:lineRule="exact" w:before="0"/>
        <w:ind w:left="346" w:right="0" w:hanging="24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Ecuries</w:t>
      </w:r>
      <w:r>
        <w:rPr>
          <w:rFonts w:ascii="Theinhardt Regular" w:hAnsi="Theinhardt Regular"/>
          <w:color w:val="231F20"/>
          <w:sz w:val="14"/>
        </w:rPr>
        <w:t> du </w:t>
      </w:r>
      <w:r>
        <w:rPr>
          <w:rFonts w:ascii="Theinhardt Regular" w:hAnsi="Theinhardt Regular"/>
          <w:color w:val="231F20"/>
          <w:spacing w:val="1"/>
          <w:sz w:val="14"/>
        </w:rPr>
        <w:t>manège</w:t>
      </w:r>
      <w:r>
        <w:rPr>
          <w:rFonts w:ascii="Theinhardt Regular" w:hAnsi="Theinhardt Regular"/>
          <w:color w:val="231F20"/>
          <w:sz w:val="14"/>
        </w:rPr>
        <w:t> du </w:t>
      </w:r>
      <w:r>
        <w:rPr>
          <w:rFonts w:ascii="Theinhardt Regular" w:hAnsi="Theinhardt Regular"/>
          <w:color w:val="231F20"/>
          <w:spacing w:val="1"/>
          <w:sz w:val="14"/>
        </w:rPr>
        <w:t>Chalet-à-Gobet</w:t>
      </w:r>
      <w:r>
        <w:rPr>
          <w:rFonts w:ascii="Theinhardt Regular" w:hAnsi="Theinhardt Regular"/>
          <w:color w:val="231F20"/>
          <w:sz w:val="14"/>
        </w:rPr>
        <w:t>   </w:t>
      </w:r>
      <w:r>
        <w:rPr>
          <w:rFonts w:ascii="Theinhardt Regular" w:hAnsi="Theinhardt Regular"/>
          <w:color w:val="231F20"/>
          <w:spacing w:val="17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36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3"/>
        </w:numPr>
        <w:tabs>
          <w:tab w:pos="349" w:val="left" w:leader="none"/>
          <w:tab w:pos="2884" w:val="left" w:leader="none"/>
        </w:tabs>
        <w:spacing w:line="160" w:lineRule="exact" w:before="0"/>
        <w:ind w:left="348" w:right="0" w:hanging="242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EMS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La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Rozavère</w:t>
        <w:tab/>
      </w:r>
      <w:r>
        <w:rPr>
          <w:rFonts w:ascii="Theinhardt Regular" w:hAnsi="Theinhardt Regular"/>
          <w:color w:val="231F20"/>
          <w:sz w:val="14"/>
        </w:rPr>
        <w:t>35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3"/>
        </w:numPr>
        <w:tabs>
          <w:tab w:pos="349" w:val="left" w:leader="none"/>
          <w:tab w:pos="2883" w:val="left" w:leader="none"/>
        </w:tabs>
        <w:spacing w:line="160" w:lineRule="exact" w:before="0"/>
        <w:ind w:left="348" w:right="0" w:hanging="242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Ferme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Saugealles</w:t>
        <w:tab/>
      </w:r>
      <w:r>
        <w:rPr>
          <w:rFonts w:ascii="Theinhardt Regular"/>
          <w:color w:val="231F20"/>
          <w:sz w:val="14"/>
        </w:rPr>
        <w:t>34 kWc</w:t>
      </w:r>
      <w:r>
        <w:rPr>
          <w:rFonts w:ascii="Theinhardt Regular"/>
          <w:sz w:val="14"/>
        </w:rPr>
      </w:r>
    </w:p>
    <w:p>
      <w:pPr>
        <w:numPr>
          <w:ilvl w:val="0"/>
          <w:numId w:val="3"/>
        </w:numPr>
        <w:tabs>
          <w:tab w:pos="348" w:val="left" w:leader="none"/>
          <w:tab w:pos="2889" w:val="left" w:leader="none"/>
        </w:tabs>
        <w:spacing w:line="160" w:lineRule="exact" w:before="0"/>
        <w:ind w:left="347" w:right="0" w:hanging="241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Salle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gym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Béthusy</w:t>
        <w:tab/>
      </w:r>
      <w:r>
        <w:rPr>
          <w:rFonts w:ascii="Theinhardt Regular" w:hAnsi="Theinhardt Regular"/>
          <w:color w:val="231F20"/>
          <w:spacing w:val="-3"/>
          <w:sz w:val="14"/>
        </w:rPr>
        <w:t>31</w:t>
      </w:r>
      <w:r>
        <w:rPr>
          <w:rFonts w:ascii="Theinhardt Regular" w:hAnsi="Theinhardt Regular"/>
          <w:color w:val="231F20"/>
          <w:sz w:val="14"/>
        </w:rPr>
        <w:t> kWc</w:t>
      </w:r>
      <w:r>
        <w:rPr>
          <w:rFonts w:ascii="Theinhardt Regular" w:hAnsi="Theinhardt Regular"/>
          <w:sz w:val="14"/>
        </w:rPr>
      </w:r>
    </w:p>
    <w:p>
      <w:pPr>
        <w:numPr>
          <w:ilvl w:val="0"/>
          <w:numId w:val="3"/>
        </w:numPr>
        <w:tabs>
          <w:tab w:pos="349" w:val="left" w:leader="none"/>
          <w:tab w:pos="2886" w:val="left" w:leader="none"/>
        </w:tabs>
        <w:spacing w:line="172" w:lineRule="exact" w:before="0"/>
        <w:ind w:left="348" w:right="0" w:hanging="242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Poste</w:t>
      </w:r>
      <w:r>
        <w:rPr>
          <w:rFonts w:ascii="Theinhardt Regular"/>
          <w:color w:val="231F20"/>
          <w:sz w:val="14"/>
        </w:rPr>
        <w:t> Transfo </w:t>
      </w:r>
      <w:r>
        <w:rPr>
          <w:rFonts w:ascii="Theinhardt Regular"/>
          <w:color w:val="231F20"/>
          <w:spacing w:val="2"/>
          <w:sz w:val="14"/>
        </w:rPr>
        <w:t>Expo</w:t>
        <w:tab/>
      </w:r>
      <w:r>
        <w:rPr>
          <w:rFonts w:ascii="Theinhardt Regular"/>
          <w:color w:val="231F20"/>
          <w:spacing w:val="-1"/>
          <w:sz w:val="14"/>
        </w:rPr>
        <w:t>27</w:t>
      </w:r>
      <w:r>
        <w:rPr>
          <w:rFonts w:ascii="Theinhardt Regular"/>
          <w:color w:val="231F20"/>
          <w:sz w:val="14"/>
        </w:rPr>
        <w:t> kWc</w:t>
      </w:r>
      <w:r>
        <w:rPr>
          <w:rFonts w:ascii="Theinhardt Regular"/>
          <w:sz w:val="14"/>
        </w:rPr>
      </w:r>
    </w:p>
    <w:p>
      <w:pPr>
        <w:tabs>
          <w:tab w:pos="2616" w:val="left" w:leader="none"/>
        </w:tabs>
        <w:spacing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Total </w:t>
      </w:r>
      <w:r>
        <w:rPr>
          <w:rFonts w:ascii="Theinhardt Bold"/>
          <w:b/>
          <w:color w:val="231F20"/>
          <w:spacing w:val="-2"/>
          <w:sz w:val="14"/>
        </w:rPr>
        <w:t>2017</w:t>
      </w:r>
      <w:r>
        <w:rPr>
          <w:rFonts w:ascii="Theinhardt Bold"/>
          <w:b/>
          <w:color w:val="231F20"/>
          <w:sz w:val="14"/>
        </w:rPr>
        <w:t> :</w:t>
        <w:tab/>
        <w:t>8,051 </w:t>
      </w:r>
      <w:r>
        <w:rPr>
          <w:rFonts w:ascii="Theinhardt Bold"/>
          <w:b/>
          <w:color w:val="231F20"/>
          <w:spacing w:val="1"/>
          <w:sz w:val="14"/>
        </w:rPr>
        <w:t>MWc</w:t>
      </w:r>
      <w:r>
        <w:rPr>
          <w:rFonts w:ascii="Theinhardt Bold"/>
          <w:sz w:val="14"/>
        </w:rPr>
      </w:r>
    </w:p>
    <w:p>
      <w:pPr>
        <w:spacing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Plus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d’informations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su</w:t>
      </w:r>
      <w:hyperlink r:id="rId5">
        <w:r>
          <w:rPr>
            <w:rFonts w:ascii="Theinhardt Regular" w:hAnsi="Theinhardt Regular" w:cs="Theinhardt Regular" w:eastAsia="Theinhardt Regular"/>
            <w:color w:val="231F20"/>
            <w:spacing w:val="1"/>
            <w:sz w:val="14"/>
            <w:szCs w:val="14"/>
          </w:rPr>
          <w:t>r</w:t>
        </w:r>
        <w:r>
          <w:rPr>
            <w:rFonts w:ascii="Theinhardt Regular" w:hAnsi="Theinhardt Regular" w:cs="Theinhardt Regular" w:eastAsia="Theinhardt Regular"/>
            <w:color w:val="231F20"/>
            <w:sz w:val="14"/>
            <w:szCs w:val="14"/>
          </w:rPr>
          <w:t> </w:t>
        </w:r>
        <w:r>
          <w:rPr>
            <w:rFonts w:ascii="Theinhardt Regular" w:hAnsi="Theinhardt Regular" w:cs="Theinhardt Regular" w:eastAsia="Theinhardt Regular"/>
            <w:color w:val="231F20"/>
            <w:spacing w:val="1"/>
            <w:sz w:val="14"/>
            <w:szCs w:val="14"/>
          </w:rPr>
          <w:t>http://si-ren.solarlog-web.ch</w:t>
        </w:r>
        <w:r>
          <w:rPr>
            <w:rFonts w:ascii="Theinhardt Regular" w:hAnsi="Theinhardt Regular" w:cs="Theinhardt Regular" w:eastAsia="Theinhardt Regular"/>
            <w:sz w:val="14"/>
            <w:szCs w:val="14"/>
          </w:rPr>
        </w:r>
      </w:hyperlink>
    </w:p>
    <w:p>
      <w:pPr>
        <w:spacing w:line="160" w:lineRule="exact" w:before="39"/>
        <w:ind w:left="106" w:right="14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 kWc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puissance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installée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correspond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à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environ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1’000 kWh/a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courant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produit.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504" w:val="left" w:leader="none"/>
        </w:tabs>
        <w:spacing w:before="49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Unités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mesure: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 GWh/a  =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1’000’000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line="113" w:lineRule="exact"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pict>
          <v:group style="position:absolute;margin-left:385.724396pt;margin-top:11.254498pt;width:.1pt;height:.1pt;mso-position-horizontal-relative:page;mso-position-vertical-relative:paragraph;z-index:-5584" coordorigin="7714,225" coordsize="2,2">
            <v:shape style="position:absolute;left:7714;top:225;width:2;height:2" coordorigin="7714,225" coordsize="0,0" path="m7714,225l7714,225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552.543396pt;margin-top:11.254498pt;width:.1pt;height:.1pt;mso-position-horizontal-relative:page;mso-position-vertical-relative:paragraph;z-index:1144" coordorigin="11051,225" coordsize="2,2">
            <v:shape style="position:absolute;left:11051;top:225;width:2;height:2" coordorigin="11051,225" coordsize="0,0" path="m11051,225l11051,225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  <w:spacing w:val="2"/>
          <w:sz w:val="14"/>
        </w:rPr>
        <w:t>Contact</w:t>
      </w:r>
      <w:r>
        <w:rPr>
          <w:rFonts w:ascii="Theinhardt Black"/>
          <w:sz w:val="14"/>
        </w:rPr>
      </w:r>
    </w:p>
    <w:p>
      <w:pPr>
        <w:spacing w:after="0" w:line="113" w:lineRule="exact"/>
        <w:jc w:val="left"/>
        <w:rPr>
          <w:rFonts w:ascii="Theinhardt Black" w:hAnsi="Theinhardt Black" w:cs="Theinhardt Black" w:eastAsia="Theinhardt Black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8"/>
            <w:col w:w="3458" w:space="114"/>
            <w:col w:w="3567"/>
          </w:cols>
        </w:sectPr>
      </w:pPr>
    </w:p>
    <w:p>
      <w:pPr>
        <w:pStyle w:val="BodyText"/>
        <w:spacing w:line="199" w:lineRule="exact"/>
        <w:ind w:right="0"/>
        <w:jc w:val="left"/>
      </w:pPr>
      <w:r>
        <w:rPr>
          <w:color w:val="231F20"/>
        </w:rPr>
        <w:t>qué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par</w:t>
      </w:r>
      <w:r>
        <w:rPr>
          <w:color w:val="231F20"/>
          <w:spacing w:val="7"/>
        </w:rPr>
        <w:t> </w:t>
      </w:r>
      <w:r>
        <w:rPr>
          <w:color w:val="231F20"/>
        </w:rPr>
        <w:t>le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réseau</w:t>
      </w:r>
      <w:r>
        <w:rPr>
          <w:color w:val="231F20"/>
          <w:spacing w:val="7"/>
        </w:rPr>
        <w:t> </w:t>
      </w:r>
      <w:r>
        <w:rPr>
          <w:color w:val="231F20"/>
        </w:rPr>
        <w:t>public.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SI-REN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SA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œuvre</w:t>
      </w:r>
      <w:r>
        <w:rPr/>
      </w:r>
    </w:p>
    <w:p>
      <w:pPr>
        <w:tabs>
          <w:tab w:pos="3699" w:val="left" w:leader="none"/>
          <w:tab w:pos="7010" w:val="left" w:leader="none"/>
        </w:tabs>
        <w:spacing w:line="199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SI-REN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SA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fördert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damit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auch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den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vom</w:t>
      </w:r>
      <w:r>
        <w:rPr>
          <w:rFonts w:ascii="Theinhardt Regular Italic" w:hAnsi="Theinhardt Regular Italic"/>
          <w:i/>
          <w:color w:val="231F20"/>
          <w:spacing w:val="1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BFE</w:t>
      </w:r>
      <w:r>
        <w:rPr>
          <w:rFonts w:ascii="Theinhardt Regular Italic" w:hAnsi="Theinhardt Regular Italic"/>
          <w:i/>
          <w:color w:val="231F20"/>
          <w:sz w:val="18"/>
        </w:rPr>
        <w:tab/>
      </w:r>
      <w:r>
        <w:rPr>
          <w:rFonts w:ascii="Theinhardt Regular Italic" w:hAnsi="Theinhardt Regular Italic"/>
          <w:i/>
          <w:color w:val="231F20"/>
          <w:sz w:val="18"/>
          <w:u w:val="dotted" w:color="231F20"/>
        </w:rPr>
        <w:t> </w:t>
        <w:tab/>
      </w:r>
      <w:r>
        <w:rPr>
          <w:rFonts w:ascii="Theinhardt Regular Italic" w:hAnsi="Theinhardt Regular Italic"/>
          <w:i/>
          <w:color w:val="231F20"/>
          <w:sz w:val="18"/>
        </w:rPr>
      </w:r>
      <w:r>
        <w:rPr>
          <w:rFonts w:ascii="Theinhardt Regular Italic" w:hAnsi="Theinhardt Regular Italic"/>
          <w:sz w:val="18"/>
        </w:rPr>
      </w:r>
    </w:p>
    <w:p>
      <w:pPr>
        <w:spacing w:after="0" w:line="199" w:lineRule="exact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3452" w:space="119"/>
            <w:col w:w="7139"/>
          </w:cols>
        </w:sectPr>
      </w:pPr>
    </w:p>
    <w:p>
      <w:pPr>
        <w:pStyle w:val="BodyText"/>
        <w:spacing w:line="232" w:lineRule="auto"/>
        <w:ind w:right="0"/>
        <w:jc w:val="left"/>
      </w:pPr>
      <w:r>
        <w:rPr>
          <w:color w:val="231F20"/>
        </w:rPr>
        <w:t>ainsi</w:t>
      </w:r>
      <w:r>
        <w:rPr>
          <w:color w:val="231F20"/>
          <w:spacing w:val="26"/>
        </w:rPr>
        <w:t> </w:t>
      </w:r>
      <w:r>
        <w:rPr>
          <w:color w:val="231F20"/>
        </w:rPr>
        <w:t>en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faveur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l’utilisation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l’énergie</w:t>
      </w:r>
      <w:r>
        <w:rPr>
          <w:color w:val="231F20"/>
          <w:spacing w:val="24"/>
        </w:rPr>
        <w:t> </w:t>
      </w:r>
      <w:r>
        <w:rPr>
          <w:color w:val="231F20"/>
        </w:rPr>
        <w:t>telle </w:t>
      </w:r>
      <w:r>
        <w:rPr>
          <w:color w:val="231F20"/>
          <w:spacing w:val="-1"/>
        </w:rPr>
        <w:t>qu’encouragée</w:t>
      </w:r>
      <w:r>
        <w:rPr>
          <w:color w:val="231F20"/>
        </w:rPr>
        <w:t> </w:t>
      </w:r>
      <w:r>
        <w:rPr>
          <w:color w:val="231F20"/>
          <w:spacing w:val="-1"/>
        </w:rPr>
        <w:t>par</w:t>
      </w:r>
      <w:r>
        <w:rPr>
          <w:color w:val="231F20"/>
        </w:rPr>
        <w:t> </w:t>
      </w:r>
      <w:r>
        <w:rPr>
          <w:color w:val="231F20"/>
          <w:spacing w:val="-2"/>
        </w:rPr>
        <w:t>l’OFEN.</w:t>
      </w:r>
      <w:r>
        <w:rPr/>
      </w:r>
    </w:p>
    <w:p>
      <w:pPr>
        <w:spacing w:line="230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unterstützten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Eigenverbrauch.</w:t>
      </w:r>
      <w:r>
        <w:rPr>
          <w:rFonts w:ascii="Theinhardt Regular Italic" w:hAnsi="Theinhardt Regular Italic"/>
          <w:sz w:val="18"/>
        </w:rPr>
      </w:r>
    </w:p>
    <w:p>
      <w:pPr>
        <w:spacing w:line="160" w:lineRule="exact" w:before="16"/>
        <w:ind w:left="106" w:right="14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SI-REN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SA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–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Les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énergies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renouvables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Lausanne</w:t>
      </w:r>
      <w:r>
        <w:rPr>
          <w:rFonts w:ascii="Theinhardt Bold" w:hAnsi="Theinhardt Bold" w:cs="Theinhardt Bold" w:eastAsia="Theinhardt Bold"/>
          <w:b/>
          <w:bCs/>
          <w:color w:val="231F20"/>
          <w:spacing w:val="3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(SI-REN: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Services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Industriels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–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renouvelables)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Richard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Mesple,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directeur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65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Grand-Chêne</w:t>
      </w:r>
      <w:r>
        <w:rPr>
          <w:rFonts w:ascii="Theinhardt Regular" w:hAnsi="Theinhardt Regular"/>
          <w:color w:val="231F20"/>
          <w:sz w:val="14"/>
        </w:rPr>
        <w:t> 8, 1003 </w:t>
      </w:r>
      <w:r>
        <w:rPr>
          <w:rFonts w:ascii="Theinhardt Regular" w:hAnsi="Theinhardt Regular"/>
          <w:color w:val="231F20"/>
          <w:spacing w:val="2"/>
          <w:sz w:val="14"/>
        </w:rPr>
        <w:t>Lausanne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6"/>
        <w:ind w:left="106" w:right="62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021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315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1</w:t>
      </w:r>
      <w:hyperlink r:id="rId6">
        <w:r>
          <w:rPr>
            <w:rFonts w:ascii="Theinhardt Regular" w:hAnsi="Theinhardt Regular"/>
            <w:color w:val="231F20"/>
            <w:spacing w:val="-3"/>
            <w:sz w:val="14"/>
          </w:rPr>
          <w:t>2,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richard.mesple@si-ren.ch</w:t>
        </w:r>
      </w:hyperlink>
      <w:r>
        <w:rPr>
          <w:rFonts w:ascii="Theinhardt Regular" w:hAnsi="Theinhardt Regular"/>
          <w:color w:val="231F20"/>
          <w:spacing w:val="50"/>
          <w:sz w:val="14"/>
        </w:rPr>
        <w:t> </w:t>
      </w:r>
      <w:hyperlink r:id="rId7">
        <w:r>
          <w:rPr>
            <w:rFonts w:ascii="Theinhardt Regular" w:hAnsi="Theinhardt Regular"/>
            <w:color w:val="231F20"/>
            <w:spacing w:val="1"/>
            <w:sz w:val="14"/>
          </w:rPr>
          <w:t>http://www.si-ren.ch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2" w:space="120"/>
            <w:col w:w="2306" w:space="1266"/>
            <w:col w:w="3566"/>
          </w:cols>
        </w:sect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3"/>
          <w:szCs w:val="3"/>
        </w:rPr>
      </w:pPr>
    </w:p>
    <w:p>
      <w:pPr>
        <w:spacing w:line="20" w:lineRule="atLeast"/>
        <w:ind w:left="725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9"/>
        <w:rPr>
          <w:rFonts w:ascii="Theinhardt Regular" w:hAnsi="Theinhardt Regular" w:cs="Theinhardt Regular" w:eastAsia="Theinhardt Regular"/>
          <w:sz w:val="16"/>
          <w:szCs w:val="16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16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/>
          <w:position w:val="1"/>
          <w:sz w:val="20"/>
        </w:rPr>
        <w:drawing>
          <wp:inline distT="0" distB="0" distL="0" distR="0">
            <wp:extent cx="3254411" cy="202996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411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/>
          <w:position w:val="1"/>
          <w:sz w:val="20"/>
        </w:rPr>
      </w:r>
      <w:r>
        <w:rPr>
          <w:rFonts w:ascii="Theinhardt Regular"/>
          <w:position w:val="1"/>
          <w:sz w:val="20"/>
        </w:rPr>
        <w:tab/>
      </w:r>
      <w:r>
        <w:rPr>
          <w:rFonts w:ascii="Theinhardt Regular"/>
          <w:sz w:val="20"/>
        </w:rPr>
        <w:drawing>
          <wp:inline distT="0" distB="0" distL="0" distR="0">
            <wp:extent cx="3264184" cy="203606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184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/>
          <w:sz w:val="20"/>
        </w:rPr>
      </w:r>
    </w:p>
    <w:p>
      <w:pPr>
        <w:tabs>
          <w:tab w:pos="5467" w:val="left" w:leader="none"/>
        </w:tabs>
        <w:spacing w:before="13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  <w:tab/>
        <w:t>2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spacing w:line="200" w:lineRule="atLeast"/>
        <w:ind w:left="113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683858" cy="331927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858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1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</w:r>
      <w:r>
        <w:rPr>
          <w:rFonts w:ascii="Theinhardt Bold"/>
          <w:sz w:val="14"/>
        </w:rPr>
      </w: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669322" cy="2657856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322" cy="26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14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4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6"/>
          <w:szCs w:val="26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4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L’installation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sur les Halles sud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Beaulieu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produit 468’000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4"/>
        </w:numPr>
        <w:tabs>
          <w:tab w:pos="338" w:val="left" w:leader="none"/>
        </w:tabs>
        <w:spacing w:line="160" w:lineRule="exact" w:before="0"/>
        <w:ind w:left="337" w:right="262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L’installation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sur la piscine Mont Repos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produit 330’000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4"/>
        </w:numPr>
        <w:tabs>
          <w:tab w:pos="338" w:val="left" w:leader="none"/>
        </w:tabs>
        <w:spacing w:line="160" w:lineRule="exact" w:before="76"/>
        <w:ind w:left="337" w:right="4128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L’installation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sur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chantier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naval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CGN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produit 353’000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4"/>
        </w:numPr>
        <w:tabs>
          <w:tab w:pos="338" w:val="left" w:leader="none"/>
        </w:tabs>
        <w:spacing w:line="160" w:lineRule="exact" w:before="0"/>
        <w:ind w:left="337" w:right="3715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L’installation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sur les bâtiments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Debrunner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à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Crissier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produit 1’260’000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2" w:equalWidth="0">
            <w:col w:w="3309" w:space="263"/>
            <w:col w:w="7138"/>
          </w:cols>
        </w:sectPr>
      </w:pP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17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34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1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28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2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2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19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1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14" w:hanging="227"/>
      </w:pPr>
      <w:rPr>
        <w:rFonts w:hint="default"/>
      </w:rPr>
    </w:lvl>
  </w:abstractNum>
  <w:abstractNum w:abstractNumId="2">
    <w:multiLevelType w:val="hybridMultilevel"/>
    <w:lvl w:ilvl="0">
      <w:start w:val="16"/>
      <w:numFmt w:val="decimal"/>
      <w:lvlText w:val="%1."/>
      <w:lvlJc w:val="left"/>
      <w:pPr>
        <w:ind w:left="341" w:hanging="235"/>
        <w:jc w:val="left"/>
      </w:pPr>
      <w:rPr>
        <w:rFonts w:hint="default" w:ascii="Theinhardt Regular" w:hAnsi="Theinhardt Regular" w:eastAsia="Theinhardt Regular"/>
        <w:color w:val="231F20"/>
        <w:spacing w:val="-7"/>
        <w:sz w:val="14"/>
        <w:szCs w:val="14"/>
      </w:rPr>
    </w:lvl>
    <w:lvl w:ilvl="1">
      <w:start w:val="1"/>
      <w:numFmt w:val="bullet"/>
      <w:lvlText w:val="•"/>
      <w:lvlJc w:val="left"/>
      <w:pPr>
        <w:ind w:left="663" w:hanging="2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85" w:hanging="2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07" w:hanging="2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29" w:hanging="2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51" w:hanging="2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73" w:hanging="2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95" w:hanging="2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18" w:hanging="235"/>
      </w:pPr>
      <w:rPr>
        <w:rFonts w:hint="default"/>
      </w:rPr>
    </w:lvl>
  </w:abstractNum>
  <w:abstractNum w:abstractNumId="1">
    <w:multiLevelType w:val="hybridMultilevel"/>
    <w:lvl w:ilvl="0">
      <w:start w:val="6"/>
      <w:numFmt w:val="decimal"/>
      <w:lvlText w:val="%1."/>
      <w:lvlJc w:val="left"/>
      <w:pPr>
        <w:ind w:left="346" w:hanging="240"/>
        <w:jc w:val="left"/>
      </w:pPr>
      <w:rPr>
        <w:rFonts w:hint="default" w:ascii="Theinhardt Regular" w:hAnsi="Theinhardt Regular" w:eastAsia="Theinhardt Regular"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68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89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11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33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54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76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9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19" w:hanging="24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46" w:hanging="240"/>
        <w:jc w:val="left"/>
      </w:pPr>
      <w:rPr>
        <w:rFonts w:hint="default" w:ascii="Theinhardt Regular" w:hAnsi="Theinhardt Regular" w:eastAsia="Theinhardt Regular"/>
        <w:color w:val="231F20"/>
        <w:spacing w:val="-7"/>
        <w:sz w:val="14"/>
        <w:szCs w:val="14"/>
      </w:rPr>
    </w:lvl>
    <w:lvl w:ilvl="1">
      <w:start w:val="1"/>
      <w:numFmt w:val="bullet"/>
      <w:lvlText w:val="•"/>
      <w:lvlJc w:val="left"/>
      <w:pPr>
        <w:ind w:left="668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89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11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33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54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76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9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19" w:hanging="240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" w:hAnsi="Theinhardt Regular" w:eastAsia="Theinhardt Regular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28"/>
      <w:ind w:left="106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si-ren.solarlog-web.ch/" TargetMode="External"/><Relationship Id="rId6" Type="http://schemas.openxmlformats.org/officeDocument/2006/relationships/hyperlink" Target="mailto:richard.mesple@si-ren.ch" TargetMode="External"/><Relationship Id="rId7" Type="http://schemas.openxmlformats.org/officeDocument/2006/relationships/hyperlink" Target="http://www.si-ren.ch/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2017-09-20T16:56:10Z</dcterms:created>
  <dcterms:modified xsi:type="dcterms:W3CDTF">2017-09-20T16:56:10Z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2017-09-20T00:00:00Z</vt:filetime>
  </property>
</Properties>
</file>