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28pt;width:.1pt;height:.1pt;mso-position-horizontal-relative:page;mso-position-vertical-relative:paragraph;z-index:-5608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28pt;width:.1pt;height:.1pt;mso-position-horizontal-relative:page;mso-position-vertical-relative:paragraph;z-index:1096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29pt;width:.1pt;height:.1pt;mso-position-horizontal-relative:page;mso-position-vertical-relative:paragraph;z-index:-5560" coordorigin="571,507" coordsize="2,2">
            <v:shape style="position:absolute;left:571;top:507;width:2;height:2" coordorigin="571,507" coordsize="0,0" path="m571,507l57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29pt;width:.1pt;height:.1pt;mso-position-horizontal-relative:page;mso-position-vertical-relative:paragraph;z-index:1144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28.347pt;margin-top:51.416527pt;width:82.204400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2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Wyssmüller/Aebi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hatte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Ziel,</w:t>
      </w:r>
      <w:r>
        <w:rPr>
          <w:rFonts w:ascii="Theinhardt Bold" w:hAnsi="Theinhardt Bold" w:cs="Theinhardt Bold" w:eastAsia="Theinhardt Bold"/>
          <w:b/>
          <w:bCs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Low-Tech-Haus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natürlichen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Baumaterialen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erstellen.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Steilhang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eingebetteten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Holzelementbau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Thun/BE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dies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sowohl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architektonischer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auch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energetischer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Hinsicht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gelungen.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ver-</w:t>
      </w:r>
      <w:r>
        <w:rPr>
          <w:rFonts w:ascii="Theinhardt Bold" w:hAnsi="Theinhardt Bold" w:cs="Theinhardt Bold" w:eastAsia="Theinhardt Bold"/>
          <w:b/>
          <w:bCs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fügt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19.8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starke,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Jahresprodukti-</w:t>
      </w:r>
      <w:r>
        <w:rPr>
          <w:rFonts w:ascii="Theinhardt Bold" w:hAnsi="Theinhardt Bold" w:cs="Theinhardt Bold" w:eastAsia="Theinhardt Bold"/>
          <w:b/>
          <w:bCs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on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18</w:t>
      </w:r>
      <w:r>
        <w:rPr>
          <w:rFonts w:ascii="Theinhardt Regular" w:hAnsi="Theinhardt Regular" w:cs="Theinhardt Regular" w:eastAsia="Theinhardt Regular"/>
          <w:sz w:val="18"/>
          <w:szCs w:val="18"/>
        </w:rPr>
        <w:t>’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500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Heizenergiebedarf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7</w:t>
      </w:r>
      <w:r>
        <w:rPr>
          <w:rFonts w:ascii="Theinhardt Regular" w:hAnsi="Theinhardt Regular" w:cs="Theinhardt Regular" w:eastAsia="Theinhardt Regular"/>
          <w:sz w:val="18"/>
          <w:szCs w:val="18"/>
        </w:rPr>
        <w:t>’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200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decken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ca.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4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position w:val="6"/>
          <w:sz w:val="10"/>
          <w:szCs w:val="10"/>
        </w:rPr>
        <w:t>3</w:t>
      </w:r>
      <w:r>
        <w:rPr>
          <w:rFonts w:ascii="Theinhardt Bold" w:hAnsi="Theinhardt Bold" w:cs="Theinhardt Bold" w:eastAsia="Theinhardt Bold"/>
          <w:b/>
          <w:bCs/>
          <w:spacing w:val="2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Holz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vom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Waldgebiet.</w:t>
      </w:r>
      <w:r>
        <w:rPr>
          <w:rFonts w:ascii="Theinhardt Bold" w:hAnsi="Theinhardt Bold" w:cs="Theinhardt Bold" w:eastAsia="Theinhardt Bold"/>
          <w:b/>
          <w:bCs/>
          <w:spacing w:val="-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PlusEnergie-EFH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13</w:t>
      </w:r>
      <w:r>
        <w:rPr>
          <w:rFonts w:ascii="Theinhardt Regular" w:hAnsi="Theinhardt Regular" w:cs="Theinhardt Regular" w:eastAsia="Theinhardt Regular"/>
          <w:sz w:val="18"/>
          <w:szCs w:val="18"/>
        </w:rPr>
        <w:t>’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500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spacing w:val="-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es eine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von 137%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25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sz w:val="40"/>
        </w:rPr>
        <w:t>137%-PEB-EFH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11"/>
          <w:sz w:val="40"/>
        </w:rPr>
        <w:t>W</w:t>
      </w:r>
      <w:r>
        <w:rPr>
          <w:rFonts w:ascii="Theinhardt Black" w:hAnsi="Theinhardt Black"/>
          <w:b/>
          <w:color w:val="0067B1"/>
          <w:spacing w:val="12"/>
          <w:sz w:val="40"/>
        </w:rPr>
        <w:t>y</w:t>
      </w:r>
      <w:r>
        <w:rPr>
          <w:rFonts w:ascii="Theinhardt Black" w:hAnsi="Theinhardt Black"/>
          <w:b/>
          <w:color w:val="0067B1"/>
          <w:spacing w:val="16"/>
          <w:sz w:val="40"/>
        </w:rPr>
        <w:t>s</w:t>
      </w:r>
      <w:r>
        <w:rPr>
          <w:rFonts w:ascii="Theinhardt Black" w:hAnsi="Theinhardt Black"/>
          <w:b/>
          <w:color w:val="0067B1"/>
          <w:spacing w:val="4"/>
          <w:sz w:val="40"/>
        </w:rPr>
        <w:t>s</w:t>
      </w:r>
      <w:r>
        <w:rPr>
          <w:rFonts w:ascii="Theinhardt Black" w:hAnsi="Theinhardt Black"/>
          <w:b/>
          <w:color w:val="0067B1"/>
          <w:spacing w:val="2"/>
          <w:sz w:val="40"/>
        </w:rPr>
        <w:t>mü</w:t>
      </w:r>
      <w:r>
        <w:rPr>
          <w:rFonts w:ascii="Theinhardt Black" w:hAnsi="Theinhardt Black"/>
          <w:b/>
          <w:color w:val="0067B1"/>
          <w:spacing w:val="3"/>
          <w:sz w:val="40"/>
        </w:rPr>
        <w:t>l</w:t>
      </w:r>
      <w:r>
        <w:rPr>
          <w:rFonts w:ascii="Theinhardt Black" w:hAnsi="Theinhardt Black"/>
          <w:b/>
          <w:color w:val="0067B1"/>
          <w:spacing w:val="2"/>
          <w:sz w:val="40"/>
        </w:rPr>
        <w:t>le</w:t>
      </w:r>
      <w:r>
        <w:rPr>
          <w:rFonts w:ascii="Theinhardt Black" w:hAnsi="Theinhardt Black"/>
          <w:b/>
          <w:color w:val="0067B1"/>
          <w:spacing w:val="4"/>
          <w:sz w:val="40"/>
        </w:rPr>
        <w:t>r</w:t>
      </w:r>
      <w:r>
        <w:rPr>
          <w:rFonts w:ascii="Theinhardt Black" w:hAnsi="Theinhardt Black"/>
          <w:b/>
          <w:color w:val="0067B1"/>
          <w:spacing w:val="-26"/>
          <w:sz w:val="40"/>
        </w:rPr>
        <w:t>/</w:t>
      </w:r>
      <w:r>
        <w:rPr>
          <w:rFonts w:ascii="Theinhardt Black" w:hAnsi="Theinhardt Black"/>
          <w:b/>
          <w:color w:val="0067B1"/>
          <w:spacing w:val="8"/>
          <w:sz w:val="40"/>
        </w:rPr>
        <w:t>A</w:t>
      </w:r>
      <w:r>
        <w:rPr>
          <w:rFonts w:ascii="Theinhardt Black" w:hAnsi="Theinhardt Black"/>
          <w:b/>
          <w:color w:val="0067B1"/>
          <w:spacing w:val="2"/>
          <w:sz w:val="40"/>
        </w:rPr>
        <w:t>eb</w:t>
      </w:r>
      <w:r>
        <w:rPr>
          <w:rFonts w:ascii="Theinhardt Black" w:hAnsi="Theinhardt Black"/>
          <w:b/>
          <w:color w:val="0067B1"/>
          <w:sz w:val="40"/>
        </w:rPr>
        <w:t>i, 3600 </w:t>
      </w:r>
      <w:r>
        <w:rPr>
          <w:rFonts w:ascii="Theinhardt Black" w:hAnsi="Theinhardt Black"/>
          <w:b/>
          <w:color w:val="0067B1"/>
          <w:spacing w:val="3"/>
          <w:sz w:val="40"/>
        </w:rPr>
        <w:t>Thun/BE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/>
        <w:ind w:right="0"/>
        <w:jc w:val="both"/>
      </w:pPr>
      <w:r>
        <w:rPr/>
        <w:t>Bei</w:t>
      </w:r>
      <w:r>
        <w:rPr>
          <w:spacing w:val="26"/>
        </w:rPr>
        <w:t> </w:t>
      </w:r>
      <w:r>
        <w:rPr/>
        <w:t>der</w:t>
      </w:r>
      <w:r>
        <w:rPr>
          <w:spacing w:val="27"/>
        </w:rPr>
        <w:t> </w:t>
      </w:r>
      <w:r>
        <w:rPr>
          <w:spacing w:val="-1"/>
        </w:rPr>
        <w:t>Planung</w:t>
      </w:r>
      <w:r>
        <w:rPr>
          <w:spacing w:val="26"/>
        </w:rPr>
        <w:t> </w:t>
      </w:r>
      <w:r>
        <w:rPr/>
        <w:t>des</w:t>
      </w:r>
      <w:r>
        <w:rPr>
          <w:spacing w:val="27"/>
        </w:rPr>
        <w:t> </w:t>
      </w:r>
      <w:r>
        <w:rPr>
          <w:spacing w:val="-2"/>
        </w:rPr>
        <w:t>EFH</w:t>
      </w:r>
      <w:r>
        <w:rPr>
          <w:spacing w:val="27"/>
        </w:rPr>
        <w:t> </w:t>
      </w:r>
      <w:r>
        <w:rPr>
          <w:spacing w:val="1"/>
        </w:rPr>
        <w:t>setzte</w:t>
      </w:r>
      <w:r>
        <w:rPr>
          <w:spacing w:val="26"/>
        </w:rPr>
        <w:t> </w:t>
      </w:r>
      <w:r>
        <w:rPr/>
        <w:t>die</w:t>
      </w:r>
      <w:r>
        <w:rPr>
          <w:spacing w:val="27"/>
        </w:rPr>
        <w:t> </w:t>
      </w:r>
      <w:r>
        <w:rPr>
          <w:spacing w:val="1"/>
        </w:rPr>
        <w:t>Bau-</w:t>
      </w:r>
      <w:r>
        <w:rPr>
          <w:spacing w:val="27"/>
        </w:rPr>
        <w:t> </w:t>
      </w:r>
      <w:r>
        <w:rPr/>
        <w:t>herrschaft</w:t>
      </w:r>
      <w:r>
        <w:rPr>
          <w:spacing w:val="3"/>
        </w:rPr>
        <w:t> </w:t>
      </w:r>
      <w:r>
        <w:rPr>
          <w:spacing w:val="-2"/>
        </w:rPr>
        <w:t>Wyssmüller/Aebi,</w:t>
      </w:r>
      <w:r>
        <w:rPr>
          <w:spacing w:val="40"/>
        </w:rPr>
        <w:t> </w:t>
      </w:r>
      <w:r>
        <w:rPr/>
        <w:t>in</w:t>
      </w:r>
      <w:r>
        <w:rPr>
          <w:spacing w:val="3"/>
        </w:rPr>
        <w:t> </w:t>
      </w:r>
      <w:r>
        <w:rPr/>
        <w:t>enger</w:t>
      </w:r>
      <w:r>
        <w:rPr>
          <w:spacing w:val="3"/>
        </w:rPr>
        <w:t> </w:t>
      </w:r>
      <w:r>
        <w:rPr/>
        <w:t>Zu-</w:t>
      </w:r>
      <w:r>
        <w:rPr>
          <w:spacing w:val="31"/>
        </w:rPr>
        <w:t> </w:t>
      </w:r>
      <w:r>
        <w:rPr>
          <w:spacing w:val="-1"/>
        </w:rPr>
        <w:t>sammenarbeit</w:t>
      </w:r>
      <w:r>
        <w:rPr>
          <w:spacing w:val="12"/>
        </w:rPr>
        <w:t> </w:t>
      </w:r>
      <w:r>
        <w:rPr/>
        <w:t>mit</w:t>
      </w:r>
      <w:r>
        <w:rPr>
          <w:spacing w:val="12"/>
        </w:rPr>
        <w:t> </w:t>
      </w:r>
      <w:r>
        <w:rPr/>
        <w:t>dem</w:t>
      </w:r>
      <w:r>
        <w:rPr>
          <w:spacing w:val="12"/>
        </w:rPr>
        <w:t> </w:t>
      </w:r>
      <w:r>
        <w:rPr>
          <w:spacing w:val="-1"/>
        </w:rPr>
        <w:t>Architekten</w:t>
      </w:r>
      <w:r>
        <w:rPr>
          <w:spacing w:val="12"/>
        </w:rPr>
        <w:t> </w:t>
      </w:r>
      <w:r>
        <w:rPr/>
        <w:t>Claudi-</w:t>
      </w:r>
      <w:r>
        <w:rPr>
          <w:spacing w:val="38"/>
        </w:rPr>
        <w:t> </w:t>
      </w:r>
      <w:r>
        <w:rPr/>
        <w:t>us</w:t>
      </w:r>
      <w:r>
        <w:rPr>
          <w:spacing w:val="6"/>
        </w:rPr>
        <w:t> </w:t>
      </w:r>
      <w:r>
        <w:rPr>
          <w:spacing w:val="-2"/>
        </w:rPr>
        <w:t>Straubhaar,</w:t>
      </w:r>
      <w:r>
        <w:rPr>
          <w:spacing w:val="43"/>
        </w:rPr>
        <w:t> </w:t>
      </w:r>
      <w:r>
        <w:rPr/>
        <w:t>auf</w:t>
      </w:r>
      <w:r>
        <w:rPr>
          <w:spacing w:val="6"/>
        </w:rPr>
        <w:t> </w:t>
      </w:r>
      <w:r>
        <w:rPr/>
        <w:t>möglichst</w:t>
      </w:r>
      <w:r>
        <w:rPr>
          <w:spacing w:val="6"/>
        </w:rPr>
        <w:t> </w:t>
      </w:r>
      <w:r>
        <w:rPr/>
        <w:t>nachhaltige</w:t>
      </w:r>
      <w:r>
        <w:rPr>
          <w:spacing w:val="26"/>
        </w:rPr>
        <w:t> </w:t>
      </w:r>
      <w:r>
        <w:rPr/>
        <w:t>und</w:t>
      </w:r>
      <w:r>
        <w:rPr>
          <w:spacing w:val="1"/>
        </w:rPr>
        <w:t> </w:t>
      </w:r>
      <w:r>
        <w:rPr/>
        <w:t>natürliche</w:t>
      </w:r>
      <w:r>
        <w:rPr>
          <w:spacing w:val="1"/>
        </w:rPr>
        <w:t> </w:t>
      </w:r>
      <w:r>
        <w:rPr/>
        <w:t>Baumaterialien.</w:t>
      </w:r>
      <w:r>
        <w:rPr>
          <w:spacing w:val="-10"/>
        </w:rPr>
        <w:t> </w:t>
      </w:r>
      <w:r>
        <w:rPr>
          <w:spacing w:val="-1"/>
        </w:rPr>
        <w:t>Die</w:t>
      </w:r>
      <w:r>
        <w:rPr>
          <w:spacing w:val="1"/>
        </w:rPr>
        <w:t> </w:t>
      </w:r>
      <w:r>
        <w:rPr>
          <w:spacing w:val="-1"/>
        </w:rPr>
        <w:t>Fassade</w:t>
      </w:r>
      <w:r>
        <w:rPr>
          <w:spacing w:val="28"/>
        </w:rPr>
        <w:t> </w:t>
      </w:r>
      <w:r>
        <w:rPr/>
        <w:t>besteht</w:t>
      </w:r>
      <w:r>
        <w:rPr>
          <w:spacing w:val="9"/>
        </w:rPr>
        <w:t> </w:t>
      </w:r>
      <w:r>
        <w:rPr/>
        <w:t>aus</w:t>
      </w:r>
      <w:r>
        <w:rPr>
          <w:spacing w:val="9"/>
        </w:rPr>
        <w:t> </w:t>
      </w:r>
      <w:r>
        <w:rPr/>
        <w:t>Holz.</w:t>
      </w:r>
      <w:r>
        <w:rPr>
          <w:spacing w:val="-1"/>
        </w:rPr>
        <w:t> Die</w:t>
      </w:r>
      <w:r>
        <w:rPr>
          <w:spacing w:val="9"/>
        </w:rPr>
        <w:t> </w:t>
      </w:r>
      <w:r>
        <w:rPr>
          <w:spacing w:val="-2"/>
        </w:rPr>
        <w:t>Wand</w:t>
      </w:r>
      <w:r>
        <w:rPr>
          <w:spacing w:val="9"/>
        </w:rPr>
        <w:t> </w:t>
      </w:r>
      <w:r>
        <w:rPr/>
        <w:t>erhielt</w:t>
      </w:r>
      <w:r>
        <w:rPr>
          <w:spacing w:val="9"/>
        </w:rPr>
        <w:t> </w:t>
      </w:r>
      <w:r>
        <w:rPr/>
        <w:t>eine</w:t>
      </w:r>
      <w:r>
        <w:rPr>
          <w:spacing w:val="9"/>
        </w:rPr>
        <w:t> </w:t>
      </w:r>
      <w:r>
        <w:rPr/>
        <w:t>35</w:t>
      </w:r>
      <w:r>
        <w:rPr>
          <w:spacing w:val="24"/>
        </w:rPr>
        <w:t> </w:t>
      </w:r>
      <w:r>
        <w:rPr/>
        <w:t>cm </w:t>
      </w:r>
      <w:r>
        <w:rPr>
          <w:spacing w:val="-1"/>
        </w:rPr>
        <w:t>starke</w:t>
      </w:r>
      <w:r>
        <w:rPr/>
        <w:t> Dämmung aus </w:t>
      </w:r>
      <w:r>
        <w:rPr>
          <w:spacing w:val="-2"/>
        </w:rPr>
        <w:t>Altpapier.</w:t>
      </w:r>
    </w:p>
    <w:p>
      <w:pPr>
        <w:pStyle w:val="BodyText"/>
        <w:spacing w:line="232" w:lineRule="auto" w:before="15"/>
        <w:ind w:right="0" w:firstLine="226"/>
        <w:jc w:val="both"/>
      </w:pPr>
      <w:r>
        <w:rPr/>
        <w:t>Auch</w:t>
      </w:r>
      <w:r>
        <w:rPr>
          <w:spacing w:val="17"/>
        </w:rPr>
        <w:t> </w:t>
      </w:r>
      <w:r>
        <w:rPr/>
        <w:t>bei</w:t>
      </w:r>
      <w:r>
        <w:rPr>
          <w:spacing w:val="17"/>
        </w:rPr>
        <w:t> </w:t>
      </w:r>
      <w:r>
        <w:rPr/>
        <w:t>der</w:t>
      </w:r>
      <w:r>
        <w:rPr>
          <w:spacing w:val="17"/>
        </w:rPr>
        <w:t> </w:t>
      </w:r>
      <w:r>
        <w:rPr/>
        <w:t>Beheizung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Hauses</w:t>
      </w:r>
      <w:r>
        <w:rPr>
          <w:spacing w:val="27"/>
        </w:rPr>
        <w:t> </w:t>
      </w:r>
      <w:r>
        <w:rPr>
          <w:spacing w:val="1"/>
        </w:rPr>
        <w:t>setzte</w:t>
      </w:r>
      <w:r>
        <w:rPr>
          <w:spacing w:val="10"/>
        </w:rPr>
        <w:t> </w:t>
      </w:r>
      <w:r>
        <w:rPr/>
        <w:t>das</w:t>
      </w:r>
      <w:r>
        <w:rPr>
          <w:spacing w:val="10"/>
        </w:rPr>
        <w:t> </w:t>
      </w:r>
      <w:r>
        <w:rPr>
          <w:spacing w:val="-2"/>
        </w:rPr>
        <w:t>Paar</w:t>
      </w:r>
      <w:r>
        <w:rPr>
          <w:spacing w:val="10"/>
        </w:rPr>
        <w:t> </w:t>
      </w:r>
      <w:r>
        <w:rPr>
          <w:spacing w:val="-2"/>
        </w:rPr>
        <w:t>Wyssmüller/Aebi</w:t>
      </w:r>
      <w:r>
        <w:rPr>
          <w:spacing w:val="10"/>
        </w:rPr>
        <w:t> </w:t>
      </w:r>
      <w:r>
        <w:rPr/>
        <w:t>auf</w:t>
      </w:r>
      <w:r>
        <w:rPr>
          <w:spacing w:val="10"/>
        </w:rPr>
        <w:t> </w:t>
      </w:r>
      <w:r>
        <w:rPr>
          <w:spacing w:val="-1"/>
        </w:rPr>
        <w:t>regio-</w:t>
      </w:r>
      <w:r>
        <w:rPr>
          <w:spacing w:val="25"/>
        </w:rPr>
        <w:t> </w:t>
      </w:r>
      <w:r>
        <w:rPr/>
        <w:t>nale</w:t>
      </w:r>
      <w:r>
        <w:rPr>
          <w:spacing w:val="22"/>
        </w:rPr>
        <w:t> </w:t>
      </w:r>
      <w:r>
        <w:rPr/>
        <w:t>und</w:t>
      </w:r>
      <w:r>
        <w:rPr>
          <w:spacing w:val="22"/>
        </w:rPr>
        <w:t> </w:t>
      </w:r>
      <w:r>
        <w:rPr/>
        <w:t>natürliche</w:t>
      </w:r>
      <w:r>
        <w:rPr>
          <w:spacing w:val="22"/>
        </w:rPr>
        <w:t> </w:t>
      </w:r>
      <w:r>
        <w:rPr>
          <w:spacing w:val="-1"/>
        </w:rPr>
        <w:t>Ressourcen.</w:t>
      </w:r>
      <w:r>
        <w:rPr>
          <w:spacing w:val="11"/>
        </w:rPr>
        <w:t> </w:t>
      </w:r>
      <w:r>
        <w:rPr/>
        <w:t>Der</w:t>
      </w:r>
      <w:r>
        <w:rPr>
          <w:spacing w:val="22"/>
        </w:rPr>
        <w:t> </w:t>
      </w:r>
      <w:r>
        <w:rPr/>
        <w:t>Heiz-</w:t>
      </w:r>
      <w:r>
        <w:rPr>
          <w:spacing w:val="26"/>
        </w:rPr>
        <w:t> </w:t>
      </w:r>
      <w:r>
        <w:rPr/>
        <w:t>bedarf</w:t>
      </w:r>
      <w:r>
        <w:rPr>
          <w:spacing w:val="33"/>
        </w:rPr>
        <w:t> </w:t>
      </w:r>
      <w:r>
        <w:rPr/>
        <w:t>von</w:t>
      </w:r>
      <w:r>
        <w:rPr>
          <w:spacing w:val="34"/>
        </w:rPr>
        <w:t> </w:t>
      </w:r>
      <w:r>
        <w:rPr/>
        <w:t>7’200</w:t>
      </w:r>
      <w:r>
        <w:rPr>
          <w:spacing w:val="33"/>
        </w:rPr>
        <w:t> </w:t>
      </w:r>
      <w:r>
        <w:rPr>
          <w:spacing w:val="-2"/>
        </w:rPr>
        <w:t>kWh/a</w:t>
      </w:r>
      <w:r>
        <w:rPr>
          <w:spacing w:val="34"/>
        </w:rPr>
        <w:t> </w:t>
      </w:r>
      <w:r>
        <w:rPr>
          <w:spacing w:val="-2"/>
        </w:rPr>
        <w:t>wird</w:t>
      </w:r>
      <w:r>
        <w:rPr>
          <w:spacing w:val="34"/>
        </w:rPr>
        <w:t> </w:t>
      </w:r>
      <w:r>
        <w:rPr>
          <w:spacing w:val="-2"/>
        </w:rPr>
        <w:t>durch</w:t>
      </w:r>
      <w:r>
        <w:rPr>
          <w:spacing w:val="33"/>
        </w:rPr>
        <w:t> </w:t>
      </w:r>
      <w:r>
        <w:rPr/>
        <w:t>eine</w:t>
      </w:r>
      <w:r>
        <w:rPr>
          <w:spacing w:val="22"/>
        </w:rPr>
        <w:t> </w:t>
      </w:r>
      <w:r>
        <w:rPr>
          <w:spacing w:val="-1"/>
        </w:rPr>
        <w:t>Mischung</w:t>
      </w:r>
      <w:r>
        <w:rPr>
          <w:spacing w:val="36"/>
        </w:rPr>
        <w:t> </w:t>
      </w:r>
      <w:r>
        <w:rPr/>
        <w:t>von</w:t>
      </w:r>
      <w:r>
        <w:rPr>
          <w:spacing w:val="35"/>
        </w:rPr>
        <w:t> </w:t>
      </w:r>
      <w:r>
        <w:rPr/>
        <w:t>4</w:t>
      </w:r>
      <w:r>
        <w:rPr>
          <w:spacing w:val="36"/>
        </w:rPr>
        <w:t> </w:t>
      </w:r>
      <w:r>
        <w:rPr/>
        <w:t>m</w:t>
      </w:r>
      <w:r>
        <w:rPr>
          <w:position w:val="6"/>
          <w:sz w:val="10"/>
          <w:szCs w:val="10"/>
        </w:rPr>
        <w:t>3</w:t>
      </w:r>
      <w:r>
        <w:rPr>
          <w:spacing w:val="4"/>
          <w:position w:val="6"/>
          <w:sz w:val="10"/>
          <w:szCs w:val="10"/>
        </w:rPr>
        <w:t> </w:t>
      </w:r>
      <w:r>
        <w:rPr/>
        <w:t>Laub-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Nadelholz</w:t>
      </w:r>
      <w:r>
        <w:rPr>
          <w:spacing w:val="26"/>
        </w:rPr>
        <w:t> </w:t>
      </w:r>
      <w:r>
        <w:rPr/>
        <w:t>aus</w:t>
      </w:r>
      <w:r>
        <w:rPr>
          <w:spacing w:val="9"/>
        </w:rPr>
        <w:t> </w:t>
      </w:r>
      <w:r>
        <w:rPr/>
        <w:t>einem</w:t>
      </w:r>
      <w:r>
        <w:rPr>
          <w:spacing w:val="9"/>
        </w:rPr>
        <w:t> </w:t>
      </w:r>
      <w:r>
        <w:rPr/>
        <w:t>eigenem</w:t>
      </w:r>
      <w:r>
        <w:rPr>
          <w:spacing w:val="9"/>
        </w:rPr>
        <w:t> </w:t>
      </w:r>
      <w:r>
        <w:rPr>
          <w:spacing w:val="-1"/>
        </w:rPr>
        <w:t>Waldstück</w:t>
      </w:r>
      <w:r>
        <w:rPr>
          <w:spacing w:val="9"/>
        </w:rPr>
        <w:t> </w:t>
      </w:r>
      <w:r>
        <w:rPr>
          <w:spacing w:val="-1"/>
        </w:rPr>
        <w:t>sicherge-</w:t>
      </w:r>
      <w:r>
        <w:rPr>
          <w:spacing w:val="26"/>
        </w:rPr>
        <w:t> </w:t>
      </w:r>
      <w:r>
        <w:rPr/>
        <w:t>stellt.</w:t>
      </w:r>
      <w:r>
        <w:rPr>
          <w:spacing w:val="10"/>
        </w:rPr>
        <w:t> </w:t>
      </w:r>
      <w:r>
        <w:rPr/>
        <w:t>Ein</w:t>
      </w:r>
      <w:r>
        <w:rPr>
          <w:spacing w:val="21"/>
        </w:rPr>
        <w:t> </w:t>
      </w:r>
      <w:r>
        <w:rPr>
          <w:spacing w:val="-1"/>
        </w:rPr>
        <w:t>zentral</w:t>
      </w:r>
      <w:r>
        <w:rPr>
          <w:spacing w:val="21"/>
        </w:rPr>
        <w:t> </w:t>
      </w:r>
      <w:r>
        <w:rPr/>
        <w:t>gelegener</w:t>
      </w:r>
      <w:r>
        <w:rPr>
          <w:spacing w:val="21"/>
        </w:rPr>
        <w:t> </w:t>
      </w:r>
      <w:r>
        <w:rPr>
          <w:spacing w:val="-1"/>
        </w:rPr>
        <w:t>Cheminéeofen</w:t>
      </w:r>
      <w:r>
        <w:rPr>
          <w:spacing w:val="38"/>
        </w:rPr>
        <w:t> </w:t>
      </w:r>
      <w:r>
        <w:rPr/>
        <w:t>dient</w:t>
      </w:r>
      <w:r>
        <w:rPr>
          <w:spacing w:val="14"/>
        </w:rPr>
        <w:t> </w:t>
      </w:r>
      <w:r>
        <w:rPr/>
        <w:t>der</w:t>
      </w:r>
      <w:r>
        <w:rPr>
          <w:spacing w:val="14"/>
        </w:rPr>
        <w:t> </w:t>
      </w:r>
      <w:r>
        <w:rPr/>
        <w:t>Beheizung</w:t>
      </w:r>
      <w:r>
        <w:rPr>
          <w:spacing w:val="14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1"/>
        </w:rPr>
        <w:t>Hauses.</w:t>
      </w:r>
      <w:r>
        <w:rPr>
          <w:spacing w:val="3"/>
        </w:rPr>
        <w:t> </w:t>
      </w:r>
      <w:r>
        <w:rPr>
          <w:spacing w:val="1"/>
        </w:rPr>
        <w:t>Das</w:t>
      </w:r>
      <w:r>
        <w:rPr>
          <w:spacing w:val="14"/>
        </w:rPr>
        <w:t> </w:t>
      </w:r>
      <w:r>
        <w:rPr>
          <w:spacing w:val="-2"/>
        </w:rPr>
        <w:t>EFH</w:t>
      </w:r>
      <w:r>
        <w:rPr>
          <w:spacing w:val="22"/>
        </w:rPr>
        <w:t> </w:t>
      </w:r>
      <w:r>
        <w:rPr>
          <w:spacing w:val="-2"/>
        </w:rPr>
        <w:t>Wyssmüller/Aebi</w:t>
      </w:r>
      <w:r>
        <w:rPr>
          <w:spacing w:val="16"/>
        </w:rPr>
        <w:t> </w:t>
      </w:r>
      <w:r>
        <w:rPr>
          <w:spacing w:val="-1"/>
        </w:rPr>
        <w:t>konsumiert</w:t>
      </w:r>
      <w:r>
        <w:rPr>
          <w:spacing w:val="16"/>
        </w:rPr>
        <w:t> </w:t>
      </w:r>
      <w:r>
        <w:rPr>
          <w:spacing w:val="-1"/>
        </w:rPr>
        <w:t>insgesamt</w:t>
      </w:r>
      <w:r>
        <w:rPr>
          <w:spacing w:val="49"/>
        </w:rPr>
        <w:t> </w:t>
      </w:r>
      <w:r>
        <w:rPr/>
        <w:t>13’500 </w:t>
      </w:r>
      <w:r>
        <w:rPr>
          <w:spacing w:val="-2"/>
        </w:rPr>
        <w:t>kWh/a.</w:t>
      </w:r>
    </w:p>
    <w:p>
      <w:pPr>
        <w:pStyle w:val="BodyText"/>
        <w:spacing w:line="232" w:lineRule="auto" w:before="0"/>
        <w:ind w:right="0" w:firstLine="226"/>
        <w:jc w:val="both"/>
      </w:pPr>
      <w:r>
        <w:rPr>
          <w:spacing w:val="1"/>
        </w:rPr>
        <w:t>Das</w:t>
      </w:r>
      <w:r>
        <w:rPr>
          <w:spacing w:val="-11"/>
        </w:rPr>
        <w:t> </w:t>
      </w:r>
      <w:r>
        <w:rPr>
          <w:spacing w:val="-1"/>
        </w:rPr>
        <w:t>Prunkstück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>
          <w:spacing w:val="-2"/>
        </w:rPr>
        <w:t>EFH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1"/>
        </w:rPr>
        <w:t>sorgfältig</w:t>
      </w:r>
      <w:r>
        <w:rPr>
          <w:spacing w:val="29"/>
        </w:rPr>
        <w:t> </w:t>
      </w:r>
      <w:r>
        <w:rPr/>
        <w:t>in</w:t>
      </w:r>
      <w:r>
        <w:rPr>
          <w:spacing w:val="27"/>
        </w:rPr>
        <w:t> </w:t>
      </w:r>
      <w:r>
        <w:rPr/>
        <w:t>die</w:t>
      </w:r>
      <w:r>
        <w:rPr>
          <w:spacing w:val="28"/>
        </w:rPr>
        <w:t> </w:t>
      </w:r>
      <w:r>
        <w:rPr>
          <w:spacing w:val="-1"/>
        </w:rPr>
        <w:t>Pultdachfläche</w:t>
      </w:r>
      <w:r>
        <w:rPr>
          <w:spacing w:val="27"/>
        </w:rPr>
        <w:t> </w:t>
      </w:r>
      <w:r>
        <w:rPr/>
        <w:t>integrierte,</w:t>
      </w:r>
      <w:r>
        <w:rPr>
          <w:spacing w:val="17"/>
        </w:rPr>
        <w:t> </w:t>
      </w:r>
      <w:r>
        <w:rPr/>
        <w:t>19.8</w:t>
      </w:r>
      <w:r>
        <w:rPr>
          <w:spacing w:val="28"/>
        </w:rPr>
        <w:t> </w:t>
      </w:r>
      <w:r>
        <w:rPr/>
        <w:t>kW</w:t>
      </w:r>
      <w:r>
        <w:rPr>
          <w:spacing w:val="34"/>
        </w:rPr>
        <w:t> </w:t>
      </w:r>
      <w:r>
        <w:rPr>
          <w:spacing w:val="-1"/>
        </w:rPr>
        <w:t>starke</w:t>
      </w:r>
      <w:r>
        <w:rPr>
          <w:spacing w:val="41"/>
        </w:rPr>
        <w:t> </w:t>
      </w:r>
      <w:r>
        <w:rPr>
          <w:spacing w:val="-2"/>
        </w:rPr>
        <w:t>PV-Anlage.</w:t>
      </w:r>
      <w:r>
        <w:rPr>
          <w:spacing w:val="31"/>
        </w:rPr>
        <w:t> </w:t>
      </w:r>
      <w:r>
        <w:rPr>
          <w:spacing w:val="-1"/>
        </w:rPr>
        <w:t>Die</w:t>
      </w:r>
      <w:r>
        <w:rPr>
          <w:spacing w:val="41"/>
        </w:rPr>
        <w:t> </w:t>
      </w:r>
      <w:r>
        <w:rPr/>
        <w:t>südwestlich</w:t>
      </w:r>
      <w:r>
        <w:rPr>
          <w:spacing w:val="42"/>
        </w:rPr>
        <w:t> </w:t>
      </w:r>
      <w:r>
        <w:rPr>
          <w:spacing w:val="-1"/>
        </w:rPr>
        <w:t>ausge-</w:t>
      </w:r>
    </w:p>
    <w:p>
      <w:pPr>
        <w:pStyle w:val="BodyText"/>
        <w:spacing w:line="230" w:lineRule="exact"/>
        <w:ind w:right="0"/>
        <w:jc w:val="right"/>
      </w:pPr>
      <w:r>
        <w:rPr/>
        <w:br w:type="column"/>
      </w:r>
      <w:r>
        <w:rPr/>
        <w:t>richtete</w:t>
      </w:r>
      <w:r>
        <w:rPr>
          <w:spacing w:val="9"/>
        </w:rPr>
        <w:t> </w:t>
      </w:r>
      <w:r>
        <w:rPr>
          <w:spacing w:val="-1"/>
        </w:rPr>
        <w:t>seiten-,</w:t>
      </w:r>
      <w:r>
        <w:rPr>
          <w:spacing w:val="-2"/>
        </w:rPr>
        <w:t> </w:t>
      </w:r>
      <w:r>
        <w:rPr/>
        <w:t>first-</w:t>
      </w:r>
      <w:r>
        <w:rPr>
          <w:spacing w:val="9"/>
        </w:rPr>
        <w:t> </w:t>
      </w:r>
      <w:r>
        <w:rPr/>
        <w:t>und</w:t>
      </w:r>
      <w:r>
        <w:rPr>
          <w:spacing w:val="9"/>
        </w:rPr>
        <w:t> </w:t>
      </w:r>
      <w:r>
        <w:rPr/>
        <w:t>dachbündig</w:t>
      </w:r>
      <w:r>
        <w:rPr>
          <w:spacing w:val="9"/>
        </w:rPr>
        <w:t> </w:t>
      </w:r>
      <w:r>
        <w:rPr/>
        <w:t>inte-</w:t>
      </w:r>
      <w:r>
        <w:rPr>
          <w:spacing w:val="27"/>
        </w:rPr>
        <w:t> </w:t>
      </w:r>
      <w:r>
        <w:rPr/>
        <w:t>grierte</w:t>
      </w:r>
      <w:r>
        <w:rPr>
          <w:spacing w:val="18"/>
        </w:rPr>
        <w:t> </w:t>
      </w:r>
      <w:r>
        <w:rPr>
          <w:spacing w:val="-2"/>
        </w:rPr>
        <w:t>PV-Anlage</w:t>
      </w:r>
      <w:r>
        <w:rPr>
          <w:spacing w:val="18"/>
        </w:rPr>
        <w:t> </w:t>
      </w:r>
      <w:r>
        <w:rPr/>
        <w:t>generiert</w:t>
      </w:r>
      <w:r>
        <w:rPr>
          <w:spacing w:val="18"/>
        </w:rPr>
        <w:t> </w:t>
      </w:r>
      <w:r>
        <w:rPr/>
        <w:t>mit</w:t>
      </w:r>
      <w:r>
        <w:rPr>
          <w:spacing w:val="18"/>
        </w:rPr>
        <w:t> </w:t>
      </w:r>
      <w:r>
        <w:rPr>
          <w:spacing w:val="-2"/>
        </w:rPr>
        <w:t>ihren</w:t>
      </w:r>
      <w:r>
        <w:rPr>
          <w:spacing w:val="18"/>
        </w:rPr>
        <w:t> </w:t>
      </w:r>
      <w:r>
        <w:rPr/>
        <w:t>poly-</w:t>
      </w:r>
      <w:r>
        <w:rPr>
          <w:spacing w:val="43"/>
        </w:rPr>
        <w:t> </w:t>
      </w:r>
      <w:r>
        <w:rPr/>
        <w:t>kristallinen  </w:t>
      </w:r>
      <w:r>
        <w:rPr>
          <w:spacing w:val="37"/>
        </w:rPr>
        <w:t> </w:t>
      </w:r>
      <w:r>
        <w:rPr/>
        <w:t>Solarzellen  </w:t>
      </w:r>
      <w:r>
        <w:rPr>
          <w:spacing w:val="38"/>
        </w:rPr>
        <w:t> </w:t>
      </w:r>
      <w:r>
        <w:rPr/>
        <w:t>18’500  </w:t>
      </w:r>
      <w:r>
        <w:rPr>
          <w:spacing w:val="37"/>
        </w:rPr>
        <w:t> </w:t>
      </w:r>
      <w:r>
        <w:rPr>
          <w:spacing w:val="-2"/>
        </w:rPr>
        <w:t>kWh/a.</w:t>
      </w:r>
      <w:r>
        <w:rPr>
          <w:spacing w:val="28"/>
        </w:rPr>
        <w:t> </w:t>
      </w:r>
      <w:r>
        <w:rPr/>
        <w:t>Damit</w:t>
      </w:r>
      <w:r>
        <w:rPr>
          <w:spacing w:val="-7"/>
        </w:rPr>
        <w:t> </w:t>
      </w:r>
      <w:r>
        <w:rPr>
          <w:spacing w:val="-2"/>
        </w:rPr>
        <w:t>wird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>
          <w:spacing w:val="-2"/>
        </w:rPr>
        <w:t>EFH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einer</w:t>
      </w:r>
      <w:r>
        <w:rPr>
          <w:spacing w:val="-7"/>
        </w:rPr>
        <w:t> </w:t>
      </w:r>
      <w:r>
        <w:rPr>
          <w:spacing w:val="-1"/>
        </w:rPr>
        <w:t>Eigenenergie-</w:t>
      </w:r>
      <w:r>
        <w:rPr>
          <w:spacing w:val="30"/>
        </w:rPr>
        <w:t> </w:t>
      </w:r>
      <w:r>
        <w:rPr>
          <w:spacing w:val="-1"/>
        </w:rPr>
        <w:t>versorgung</w:t>
      </w:r>
      <w:r>
        <w:rPr>
          <w:spacing w:val="-12"/>
        </w:rPr>
        <w:t> </w:t>
      </w:r>
      <w:r>
        <w:rPr/>
        <w:t>von</w:t>
      </w:r>
      <w:r>
        <w:rPr>
          <w:spacing w:val="-12"/>
        </w:rPr>
        <w:t> </w:t>
      </w:r>
      <w:r>
        <w:rPr/>
        <w:t>137%</w:t>
      </w:r>
      <w:r>
        <w:rPr>
          <w:spacing w:val="-12"/>
        </w:rPr>
        <w:t> </w:t>
      </w:r>
      <w:r>
        <w:rPr/>
        <w:t>zum</w:t>
      </w:r>
      <w:r>
        <w:rPr>
          <w:spacing w:val="-12"/>
        </w:rPr>
        <w:t> </w:t>
      </w:r>
      <w:r>
        <w:rPr>
          <w:spacing w:val="-1"/>
        </w:rPr>
        <w:t>PlusEnergieBau.</w:t>
      </w:r>
      <w:r>
        <w:rPr>
          <w:spacing w:val="29"/>
        </w:rPr>
        <w:t> </w:t>
      </w:r>
      <w:r>
        <w:rPr/>
        <w:t>Mit  </w:t>
      </w:r>
      <w:r>
        <w:rPr>
          <w:spacing w:val="39"/>
        </w:rPr>
        <w:t> </w:t>
      </w:r>
      <w:r>
        <w:rPr/>
        <w:t>dem  </w:t>
      </w:r>
      <w:r>
        <w:rPr>
          <w:spacing w:val="40"/>
        </w:rPr>
        <w:t> </w:t>
      </w:r>
      <w:r>
        <w:rPr>
          <w:spacing w:val="-1"/>
        </w:rPr>
        <w:t>Solarstromüberschuss</w:t>
      </w:r>
      <w:r>
        <w:rPr/>
        <w:t>  </w:t>
      </w:r>
      <w:r>
        <w:rPr>
          <w:spacing w:val="39"/>
        </w:rPr>
        <w:t> </w:t>
      </w:r>
      <w:r>
        <w:rPr/>
        <w:t>von</w:t>
      </w:r>
      <w:r>
        <w:rPr>
          <w:spacing w:val="23"/>
        </w:rPr>
        <w:t> </w:t>
      </w:r>
      <w:r>
        <w:rPr/>
        <w:t>5’000</w:t>
      </w:r>
      <w:r>
        <w:rPr>
          <w:spacing w:val="-8"/>
        </w:rPr>
        <w:t> </w:t>
      </w:r>
      <w:r>
        <w:rPr>
          <w:spacing w:val="-2"/>
        </w:rPr>
        <w:t>kWh/a</w:t>
      </w:r>
      <w:r>
        <w:rPr>
          <w:spacing w:val="-8"/>
        </w:rPr>
        <w:t> </w:t>
      </w:r>
      <w:r>
        <w:rPr>
          <w:spacing w:val="-1"/>
        </w:rPr>
        <w:t>könnten</w:t>
      </w:r>
      <w:r>
        <w:rPr>
          <w:spacing w:val="-8"/>
        </w:rPr>
        <w:t> </w:t>
      </w:r>
      <w:r>
        <w:rPr>
          <w:spacing w:val="-2"/>
        </w:rPr>
        <w:t>drei</w:t>
      </w:r>
      <w:r>
        <w:rPr>
          <w:spacing w:val="-8"/>
        </w:rPr>
        <w:t> </w:t>
      </w:r>
      <w:r>
        <w:rPr>
          <w:spacing w:val="-1"/>
        </w:rPr>
        <w:t>Elektrofahrzeuge</w:t>
      </w:r>
    </w:p>
    <w:p>
      <w:pPr>
        <w:pStyle w:val="BodyText"/>
        <w:spacing w:line="218" w:lineRule="auto" w:before="25"/>
        <w:ind w:right="8"/>
        <w:jc w:val="both"/>
      </w:pPr>
      <w:r>
        <w:rPr>
          <w:spacing w:val="-1"/>
        </w:rPr>
        <w:t>CO</w:t>
      </w:r>
      <w:r>
        <w:rPr>
          <w:spacing w:val="-1"/>
          <w:position w:val="-5"/>
          <w:sz w:val="10"/>
        </w:rPr>
        <w:t>2</w:t>
      </w:r>
      <w:r>
        <w:rPr>
          <w:spacing w:val="-1"/>
        </w:rPr>
        <w:t>-frei</w:t>
      </w:r>
      <w:r>
        <w:rPr>
          <w:spacing w:val="1"/>
        </w:rPr>
        <w:t> </w:t>
      </w:r>
      <w:r>
        <w:rPr/>
        <w:t>betrieben</w:t>
      </w:r>
      <w:r>
        <w:rPr>
          <w:spacing w:val="1"/>
        </w:rPr>
        <w:t> </w:t>
      </w:r>
      <w:r>
        <w:rPr>
          <w:spacing w:val="-1"/>
        </w:rPr>
        <w:t>werden.</w:t>
      </w:r>
      <w:r>
        <w:rPr>
          <w:spacing w:val="-9"/>
        </w:rPr>
        <w:t> </w:t>
      </w:r>
      <w:r>
        <w:rPr/>
        <w:t>Dafür</w:t>
      </w:r>
      <w:r>
        <w:rPr>
          <w:spacing w:val="1"/>
        </w:rPr>
        <w:t> </w:t>
      </w:r>
      <w:r>
        <w:rPr/>
        <w:t>erhält</w:t>
      </w:r>
      <w:r>
        <w:rPr>
          <w:spacing w:val="2"/>
        </w:rPr>
        <w:t> </w:t>
      </w:r>
      <w:r>
        <w:rPr/>
        <w:t>das</w:t>
      </w:r>
      <w:r>
        <w:rPr>
          <w:spacing w:val="26"/>
        </w:rPr>
        <w:t> </w:t>
      </w:r>
      <w:r>
        <w:rPr>
          <w:spacing w:val="-1"/>
        </w:rPr>
        <w:t>klimaneutrale</w:t>
      </w:r>
      <w:r>
        <w:rPr>
          <w:spacing w:val="17"/>
        </w:rPr>
        <w:t> </w:t>
      </w:r>
      <w:r>
        <w:rPr>
          <w:spacing w:val="-2"/>
        </w:rPr>
        <w:t>PEB-EFH</w:t>
      </w:r>
      <w:r>
        <w:rPr>
          <w:spacing w:val="17"/>
        </w:rPr>
        <w:t> </w:t>
      </w:r>
      <w:r>
        <w:rPr/>
        <w:t>das</w:t>
      </w:r>
      <w:r>
        <w:rPr>
          <w:spacing w:val="17"/>
        </w:rPr>
        <w:t> </w:t>
      </w:r>
      <w:r>
        <w:rPr>
          <w:spacing w:val="-1"/>
        </w:rPr>
        <w:t>PlusEnergie-</w:t>
      </w:r>
      <w:r>
        <w:rPr>
          <w:spacing w:val="41"/>
        </w:rPr>
        <w:t> </w:t>
      </w:r>
      <w:r>
        <w:rPr/>
        <w:t>Bau-Diplom 2016.</w:t>
      </w:r>
    </w:p>
    <w:p>
      <w:pPr>
        <w:spacing w:before="67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027" w:val="left" w:leader="none"/>
          <w:tab w:pos="1714" w:val="left" w:leader="none"/>
          <w:tab w:pos="2500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  <w:t>35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7"/>
          <w:sz w:val="14"/>
        </w:rPr>
        <w:t>0.11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714" w:val="left" w:leader="none"/>
          <w:tab w:pos="2495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Dach/Estrich:</w:t>
      </w:r>
      <w:r>
        <w:rPr>
          <w:rFonts w:ascii="Theinhardt Regular"/>
          <w:spacing w:val="26"/>
          <w:sz w:val="14"/>
        </w:rPr>
        <w:t> </w:t>
      </w:r>
      <w:r>
        <w:rPr>
          <w:rFonts w:ascii="Theinhardt Regular"/>
          <w:sz w:val="14"/>
        </w:rPr>
        <w:t>30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0.15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026" w:val="left" w:leader="none"/>
          <w:tab w:pos="1714" w:val="left" w:leader="none"/>
          <w:tab w:pos="2494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4"/>
          <w:sz w:val="14"/>
        </w:rPr>
        <w:t>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pacing w:val="-7"/>
          <w:sz w:val="14"/>
        </w:rPr>
        <w:t>1.1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9"/>
          <w:szCs w:val="9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1056"/>
        <w:gridCol w:w="373"/>
        <w:gridCol w:w="566"/>
      </w:tblGrid>
      <w:tr>
        <w:trPr>
          <w:trHeight w:val="253" w:hRule="exact"/>
        </w:trPr>
        <w:tc>
          <w:tcPr>
            <w:tcW w:w="123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3"/>
                <w:sz w:val="14"/>
              </w:rPr>
              <w:t>E</w:t>
            </w:r>
            <w:r>
              <w:rPr>
                <w:rFonts w:ascii="Theinhardt Bold"/>
                <w:b/>
                <w:spacing w:val="2"/>
                <w:sz w:val="14"/>
              </w:rPr>
              <w:t>ner</w:t>
            </w:r>
            <w:r>
              <w:rPr>
                <w:rFonts w:ascii="Theinhardt Bold"/>
                <w:b/>
                <w:spacing w:val="1"/>
                <w:sz w:val="14"/>
              </w:rPr>
              <w:t>g</w:t>
            </w:r>
            <w:r>
              <w:rPr>
                <w:rFonts w:ascii="Theinhardt Bold"/>
                <w:b/>
                <w:spacing w:val="2"/>
                <w:sz w:val="14"/>
              </w:rPr>
              <w:t>iebeda</w:t>
            </w:r>
            <w:r>
              <w:rPr>
                <w:rFonts w:ascii="Theinhardt Bold"/>
                <w:b/>
                <w:spacing w:val="4"/>
                <w:sz w:val="14"/>
              </w:rPr>
              <w:t>r</w:t>
            </w:r>
            <w:r>
              <w:rPr>
                <w:rFonts w:ascii="Theinhardt Bold"/>
                <w:b/>
                <w:sz w:val="14"/>
              </w:rPr>
              <w:t>f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3"/>
                <w:sz w:val="14"/>
              </w:rPr>
              <w:t>136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Heizung: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2"/>
              <w:ind w:left="33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2"/>
              <w:ind w:left="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2"/>
              <w:ind w:left="1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23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6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52.9</w:t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53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3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1"/>
                <w:sz w:val="14"/>
                <w:szCs w:val="14"/>
              </w:rPr>
              <w:t>7’200</w:t>
            </w:r>
          </w:p>
        </w:tc>
      </w:tr>
      <w:tr>
        <w:trPr>
          <w:trHeight w:val="225" w:hRule="exact"/>
        </w:trPr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auto"/>
              <w:ind w:left="54" w:right="33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1"/>
                <w:sz w:val="14"/>
              </w:rPr>
              <w:t>Stückholz</w:t>
            </w:r>
            <w:r>
              <w:rPr>
                <w:rFonts w:ascii="Theinhardt Regular" w:hAnsi="Theinhardt Regular"/>
                <w:sz w:val="14"/>
              </w:rPr>
              <w:t> </w:t>
            </w:r>
            <w:r>
              <w:rPr>
                <w:rFonts w:ascii="Theinhardt Regular" w:hAnsi="Theinhardt Regular"/>
                <w:spacing w:val="1"/>
                <w:sz w:val="14"/>
              </w:rPr>
              <w:t>(H):</w:t>
            </w:r>
            <w:r>
              <w:rPr>
                <w:rFonts w:ascii="Theinhardt Regular" w:hAnsi="Theinhardt Regular"/>
                <w:spacing w:val="29"/>
                <w:sz w:val="14"/>
              </w:rPr>
              <w:t> </w:t>
            </w:r>
            <w:r>
              <w:rPr>
                <w:rFonts w:ascii="Theinhardt Regular" w:hAnsi="Theinhardt Regular"/>
                <w:spacing w:val="1"/>
                <w:sz w:val="14"/>
              </w:rPr>
              <w:t>Warmwasser: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52.9</w:t>
            </w:r>
          </w:p>
          <w:p>
            <w:pPr>
              <w:pStyle w:val="TableParagraph"/>
              <w:spacing w:line="73" w:lineRule="exact"/>
              <w:ind w:left="6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20.2</w:t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53</w:t>
            </w:r>
          </w:p>
          <w:p>
            <w:pPr>
              <w:pStyle w:val="TableParagraph"/>
              <w:spacing w:line="73" w:lineRule="exact"/>
              <w:ind w:left="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20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3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1"/>
                <w:sz w:val="14"/>
                <w:szCs w:val="14"/>
              </w:rPr>
              <w:t>7’200</w:t>
            </w:r>
          </w:p>
          <w:p>
            <w:pPr>
              <w:pStyle w:val="TableParagraph"/>
              <w:spacing w:line="73" w:lineRule="exact"/>
              <w:ind w:left="13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2’750</w:t>
            </w:r>
          </w:p>
        </w:tc>
      </w:tr>
    </w:tbl>
    <w:p>
      <w:pPr>
        <w:tabs>
          <w:tab w:pos="1993" w:val="left" w:leader="none"/>
          <w:tab w:pos="2856" w:val="left" w:leader="none"/>
        </w:tabs>
        <w:spacing w:line="172" w:lineRule="exact" w:before="74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26.1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27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3’550</w:t>
      </w:r>
    </w:p>
    <w:p>
      <w:pPr>
        <w:tabs>
          <w:tab w:pos="1969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99.2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13’500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825" w:val="left" w:leader="none"/>
          <w:tab w:pos="2419" w:val="left" w:leader="none"/>
          <w:tab w:pos="2782" w:val="left" w:leader="none"/>
          <w:tab w:pos="2824" w:val="left" w:leader="none"/>
        </w:tabs>
        <w:spacing w:line="207" w:lineRule="auto" w:before="6"/>
        <w:ind w:left="107" w:right="333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      </w:t>
      </w:r>
      <w:r>
        <w:rPr>
          <w:rFonts w:ascii="Theinhardt Regular" w:hAnsi="Theinhardt Regular" w:cs="Theinhardt Regular" w:eastAsia="Theinhardt Regular"/>
          <w:spacing w:val="20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140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19.8</w:t>
        <w:tab/>
        <w:t>132.3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137</w:t>
        <w:tab/>
      </w:r>
      <w:r>
        <w:rPr>
          <w:rFonts w:ascii="Theinhardt Bold" w:hAnsi="Theinhardt Bold" w:cs="Theinhardt Bold" w:eastAsia="Theinhardt Bold"/>
          <w:b/>
          <w:bCs/>
          <w:spacing w:val="-4"/>
          <w:sz w:val="14"/>
          <w:szCs w:val="14"/>
        </w:rPr>
        <w:t>18’517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596"/>
        <w:gridCol w:w="620"/>
      </w:tblGrid>
      <w:tr>
        <w:trPr>
          <w:trHeight w:val="187" w:hRule="exact"/>
        </w:trPr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4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(Endenergie)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4"/>
              <w:ind w:left="35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4"/>
              <w:ind w:left="16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9" w:hRule="exact"/>
        </w:trPr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3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2"/>
                <w:sz w:val="14"/>
              </w:rPr>
              <w:t>137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2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4"/>
                <w:sz w:val="14"/>
                <w:szCs w:val="14"/>
              </w:rPr>
              <w:t>18’517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3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13’500</w:t>
            </w:r>
          </w:p>
        </w:tc>
      </w:tr>
      <w:tr>
        <w:trPr>
          <w:trHeight w:val="122" w:hRule="exact"/>
        </w:trPr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Solarstromüberschuss: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left="31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37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left="19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2"/>
                <w:sz w:val="14"/>
                <w:szCs w:val="14"/>
              </w:rPr>
              <w:t>5’017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82"/>
        <w:ind w:left="107" w:right="24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Energie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Thun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3"/>
          <w:sz w:val="14"/>
        </w:rPr>
        <w:t>13.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Juni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2016</w:t>
      </w:r>
      <w:r>
        <w:rPr>
          <w:rFonts w:ascii="Theinhardt Regular" w:hAnsi="Theinhardt Regular"/>
          <w:spacing w:val="22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Martin</w:t>
      </w:r>
      <w:r>
        <w:rPr>
          <w:rFonts w:ascii="Theinhardt Regular" w:hAnsi="Theinhardt Regular"/>
          <w:sz w:val="14"/>
        </w:rPr>
        <w:t> Bühler,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033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225</w:t>
      </w:r>
      <w:r>
        <w:rPr>
          <w:rFonts w:ascii="Theinhardt Regular" w:hAnsi="Theinhardt Regular"/>
          <w:sz w:val="14"/>
        </w:rPr>
        <w:t> 66 65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Karin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Aebi,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Peter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Wyssmüller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6"/>
        <w:ind w:left="107" w:right="34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Lauenenweg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73A,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3600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Thun,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Tel.033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222</w:t>
      </w:r>
      <w:r>
        <w:rPr>
          <w:rFonts w:ascii="Theinhardt Regular"/>
          <w:sz w:val="14"/>
        </w:rPr>
        <w:t> 93 94,</w:t>
      </w:r>
      <w:hyperlink r:id="rId6">
        <w:r>
          <w:rPr>
            <w:rFonts w:ascii="Theinhardt Regular"/>
            <w:spacing w:val="34"/>
            <w:sz w:val="14"/>
          </w:rPr>
          <w:t> </w:t>
        </w:r>
        <w:r>
          <w:rPr>
            <w:rFonts w:ascii="Theinhardt Regular"/>
            <w:spacing w:val="1"/>
            <w:sz w:val="14"/>
          </w:rPr>
          <w:t>ambrosius@ambrosius-partner.ch</w:t>
        </w:r>
      </w:hyperlink>
    </w:p>
    <w:p>
      <w:pPr>
        <w:spacing w:line="154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Straubhaar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Architekten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FH/HTL,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Claudius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Straubhaar</w:t>
      </w:r>
      <w:r>
        <w:rPr>
          <w:rFonts w:ascii="Theinhardt Regular" w:hAnsi="Theinhardt Regular"/>
          <w:spacing w:val="4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Bälliz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13,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3600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Thun</w:t>
      </w:r>
    </w:p>
    <w:p>
      <w:pPr>
        <w:spacing w:line="167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033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01</w:t>
      </w:r>
      <w:hyperlink r:id="rId7">
        <w:r>
          <w:rPr>
            <w:rFonts w:ascii="Theinhardt Regular"/>
            <w:spacing w:val="-3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architekten@straubhaar.ch</w:t>
        </w:r>
      </w:hyperlink>
    </w:p>
    <w:p>
      <w:pPr>
        <w:spacing w:line="172" w:lineRule="exact" w:before="32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7" w:right="62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Endomo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Energie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Lukas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Eichenberger</w:t>
      </w:r>
      <w:r>
        <w:rPr>
          <w:rFonts w:ascii="Theinhardt Regular" w:hAnsi="Theinhardt Regular"/>
          <w:spacing w:val="38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Bälliz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10,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3600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Thun</w:t>
      </w:r>
    </w:p>
    <w:p>
      <w:pPr>
        <w:spacing w:line="167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031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310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01</w:t>
      </w:r>
      <w:hyperlink r:id="rId8">
        <w:r>
          <w:rPr>
            <w:rFonts w:ascii="Theinhardt Regular"/>
            <w:spacing w:val="-3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info@endomo.ch</w:t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3" w:space="119"/>
            <w:col w:w="3463" w:space="108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4"/>
          <w:szCs w:val="24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07717" cy="131206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717" cy="131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2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6.349106pt;width:345.827pt;height:226.771pt;mso-position-horizontal-relative:page;mso-position-vertical-relative:paragraph;z-index:1168" type="#_x0000_t75" stroked="false">
            <v:imagedata r:id="rId10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1"/>
          <w:szCs w:val="11"/>
        </w:rPr>
        <w:sectPr>
          <w:type w:val="continuous"/>
          <w:pgSz w:w="11910" w:h="16840"/>
          <w:pgMar w:top="860" w:bottom="280" w:left="460" w:right="740"/>
        </w:sectPr>
      </w:pPr>
    </w:p>
    <w:p>
      <w:pPr>
        <w:numPr>
          <w:ilvl w:val="0"/>
          <w:numId w:val="1"/>
        </w:numPr>
        <w:tabs>
          <w:tab w:pos="348" w:val="left" w:leader="none"/>
        </w:tabs>
        <w:spacing w:line="160" w:lineRule="exact" w:before="76"/>
        <w:ind w:left="348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Beim </w:t>
      </w:r>
      <w:r>
        <w:rPr>
          <w:rFonts w:ascii="Theinhardt Bold" w:hAnsi="Theinhardt Bold"/>
          <w:b/>
          <w:spacing w:val="-1"/>
          <w:sz w:val="14"/>
        </w:rPr>
        <w:t>Einfamilienhaus</w:t>
      </w:r>
      <w:r>
        <w:rPr>
          <w:rFonts w:ascii="Theinhardt Bold" w:hAnsi="Theinhardt Bold"/>
          <w:b/>
          <w:sz w:val="14"/>
        </w:rPr>
        <w:t> setzte </w:t>
      </w:r>
      <w:r>
        <w:rPr>
          <w:rFonts w:ascii="Theinhardt Bold" w:hAnsi="Theinhardt Bold"/>
          <w:b/>
          <w:spacing w:val="-1"/>
          <w:sz w:val="14"/>
        </w:rPr>
        <w:t>die</w:t>
      </w:r>
      <w:r>
        <w:rPr>
          <w:rFonts w:ascii="Theinhardt Bold" w:hAnsi="Theinhardt Bold"/>
          <w:b/>
          <w:sz w:val="14"/>
        </w:rPr>
        <w:t> Bauherr-</w:t>
      </w:r>
      <w:r>
        <w:rPr>
          <w:rFonts w:ascii="Theinhardt Bold" w:hAnsi="Theinhardt Bold"/>
          <w:b/>
          <w:spacing w:val="50"/>
          <w:sz w:val="14"/>
        </w:rPr>
        <w:t> </w:t>
      </w:r>
      <w:r>
        <w:rPr>
          <w:rFonts w:ascii="Theinhardt Bold" w:hAnsi="Theinhardt Bold"/>
          <w:b/>
          <w:sz w:val="14"/>
        </w:rPr>
        <w:t>schaft auf nachhaltige Baumaterialien.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Der</w:t>
      </w:r>
      <w:r>
        <w:rPr>
          <w:rFonts w:ascii="Theinhardt Bold" w:hAnsi="Theinhardt Bold"/>
          <w:b/>
          <w:spacing w:val="2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Holzelementbau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wurde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z.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B.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mit </w:t>
      </w:r>
      <w:r>
        <w:rPr>
          <w:rFonts w:ascii="Theinhardt Bold" w:hAnsi="Theinhardt Bold"/>
          <w:b/>
          <w:spacing w:val="-1"/>
          <w:sz w:val="14"/>
        </w:rPr>
        <w:t>Zellulosefa-</w:t>
      </w:r>
      <w:r>
        <w:rPr>
          <w:rFonts w:ascii="Theinhardt Bold" w:hAnsi="Theinhardt Bold"/>
          <w:b/>
          <w:spacing w:val="56"/>
          <w:sz w:val="14"/>
        </w:rPr>
        <w:t> </w:t>
      </w:r>
      <w:r>
        <w:rPr>
          <w:rFonts w:ascii="Theinhardt Bold" w:hAnsi="Theinhardt Bold"/>
          <w:b/>
          <w:sz w:val="14"/>
        </w:rPr>
        <w:t>ser gedämmt.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48" w:val="left" w:leader="none"/>
        </w:tabs>
        <w:spacing w:line="160" w:lineRule="exact" w:before="76"/>
        <w:ind w:left="348" w:right="367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19.8 kW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PV-Anlage produziert 18’500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und deckt 137% des Gesamtenergiebe-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darfs.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3164" w:space="409"/>
            <w:col w:w="7137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64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sectPr>
      <w:type w:val="continuous"/>
      <w:pgSz w:w="11910" w:h="16840"/>
      <w:pgMar w:top="8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8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2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0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mbrosius@ambrosius-partner.ch" TargetMode="External"/><Relationship Id="rId7" Type="http://schemas.openxmlformats.org/officeDocument/2006/relationships/hyperlink" Target="mailto:architekten@straubhaar.ch" TargetMode="External"/><Relationship Id="rId8" Type="http://schemas.openxmlformats.org/officeDocument/2006/relationships/hyperlink" Target="mailto:info@endomo.ch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2016-09-21T16:20:07Z</dcterms:created>
  <dcterms:modified xsi:type="dcterms:W3CDTF">2016-09-21T16:20:07Z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