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3.847289pt;width:.1pt;height:.1pt;mso-position-horizontal-relative:page;mso-position-vertical-relative:paragraph;z-index:-5200" coordorigin="584,277" coordsize="2,2">
            <v:shape style="position:absolute;left:584;top:277;width:2;height:2" coordorigin="584,277" coordsize="0,0" path="m584,277l584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260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006pt;margin-top:25.34729pt;width:.1pt;height:.1pt;mso-position-horizontal-relative:page;mso-position-vertical-relative:paragraph;z-index:-5152" coordorigin="584,507" coordsize="2,2">
            <v:shape style="position:absolute;left:584;top:507;width:2;height:2" coordorigin="584,507" coordsize="0,0" path="m584,507l584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2605pt;margin-top:25.34729pt;width:.1pt;height:.1pt;mso-position-horizontal-relative:page;mso-position-vertical-relative:paragraph;z-index:1192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2799pt;margin-top:50.904591pt;width:82.204400pt;height:60.2041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05" w:right="12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100-jährige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Walter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Züst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Rehetobel/AR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erneuert.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energieeffizienten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Haushaltgeräten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redu-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zierte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4’600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Aufgrund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Kreuzgiebels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befindet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Dach,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sondern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bestehenden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Stützmauer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Wie-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senbord.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5-kW-PV-Anlage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5’100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dachintegrierten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Sonnen-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kollektoren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steuern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bei.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PlusEnergie-EFH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Eigenener-</w:t>
      </w:r>
      <w:r>
        <w:rPr>
          <w:rFonts w:ascii="Theinhardt Bold" w:hAnsi="Theinhardt Bold" w:cs="Theinhardt Bold" w:eastAsia="Theinhardt Bold"/>
          <w:b/>
          <w:bCs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6’000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oder 131%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20"/>
          <w:cols w:num="2" w:equalWidth="0">
            <w:col w:w="2547" w:space="133"/>
            <w:col w:w="805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131%-PEB-EFH-Sanierung </w:t>
      </w:r>
      <w:r>
        <w:rPr>
          <w:rFonts w:ascii="Theinhardt Black" w:hAnsi="Theinhardt Black"/>
          <w:b/>
          <w:color w:val="0067B1"/>
          <w:spacing w:val="7"/>
          <w:sz w:val="40"/>
        </w:rPr>
        <w:t>Züst,</w:t>
      </w:r>
      <w:r>
        <w:rPr>
          <w:rFonts w:ascii="Theinhardt Black" w:hAnsi="Theinhardt Black"/>
          <w:b/>
          <w:color w:val="0067B1"/>
          <w:sz w:val="40"/>
        </w:rPr>
        <w:t> 9038 </w:t>
      </w:r>
      <w:r>
        <w:rPr>
          <w:rFonts w:ascii="Theinhardt Black" w:hAnsi="Theinhardt Black"/>
          <w:b/>
          <w:color w:val="0067B1"/>
          <w:spacing w:val="2"/>
          <w:sz w:val="40"/>
        </w:rPr>
        <w:t>Re</w:t>
      </w:r>
      <w:r>
        <w:rPr>
          <w:rFonts w:ascii="Theinhardt Black" w:hAnsi="Theinhardt Black"/>
          <w:b/>
          <w:color w:val="0067B1"/>
          <w:spacing w:val="1"/>
          <w:sz w:val="40"/>
        </w:rPr>
        <w:t>h</w:t>
      </w:r>
      <w:r>
        <w:rPr>
          <w:rFonts w:ascii="Theinhardt Black" w:hAnsi="Theinhardt Black"/>
          <w:b/>
          <w:color w:val="0067B1"/>
          <w:spacing w:val="1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t</w:t>
      </w:r>
      <w:r>
        <w:rPr>
          <w:rFonts w:ascii="Theinhardt Black" w:hAnsi="Theinhardt Black"/>
          <w:b/>
          <w:color w:val="0067B1"/>
          <w:spacing w:val="2"/>
          <w:sz w:val="40"/>
        </w:rPr>
        <w:t>o</w:t>
      </w:r>
      <w:r>
        <w:rPr>
          <w:rFonts w:ascii="Theinhardt Black" w:hAnsi="Theinhardt Black"/>
          <w:b/>
          <w:color w:val="0067B1"/>
          <w:spacing w:val="6"/>
          <w:sz w:val="40"/>
        </w:rPr>
        <w:t>b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12"/>
          <w:sz w:val="40"/>
        </w:rPr>
        <w:t>l</w:t>
      </w:r>
      <w:r>
        <w:rPr>
          <w:rFonts w:ascii="Theinhardt Black" w:hAnsi="Theinhardt Black"/>
          <w:b/>
          <w:color w:val="0067B1"/>
          <w:spacing w:val="-26"/>
          <w:sz w:val="40"/>
        </w:rPr>
        <w:t>/</w:t>
      </w:r>
      <w:r>
        <w:rPr>
          <w:rFonts w:ascii="Theinhardt Black" w:hAnsi="Theinhardt Black"/>
          <w:b/>
          <w:color w:val="0067B1"/>
          <w:spacing w:val="2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R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20"/>
        </w:sectPr>
      </w:pPr>
    </w:p>
    <w:p>
      <w:pPr>
        <w:pStyle w:val="BodyText"/>
        <w:spacing w:line="230" w:lineRule="exact" w:before="74"/>
        <w:ind w:right="0" w:firstLine="0"/>
        <w:jc w:val="both"/>
      </w:pPr>
      <w:r>
        <w:rPr/>
        <w:t>In Rehetobel steht </w:t>
      </w:r>
      <w:r>
        <w:rPr>
          <w:spacing w:val="-1"/>
        </w:rPr>
        <w:t>an</w:t>
      </w:r>
      <w:r>
        <w:rPr/>
        <w:t> der </w:t>
      </w:r>
      <w:r>
        <w:rPr>
          <w:spacing w:val="-1"/>
        </w:rPr>
        <w:t>Schulstrasse</w:t>
      </w:r>
      <w:r>
        <w:rPr/>
        <w:t> das</w:t>
      </w:r>
      <w:r>
        <w:rPr>
          <w:spacing w:val="21"/>
        </w:rPr>
        <w:t> </w:t>
      </w:r>
      <w:r>
        <w:rPr/>
        <w:t>Einfamilienhaus</w:t>
      </w:r>
      <w:r>
        <w:rPr>
          <w:spacing w:val="47"/>
        </w:rPr>
        <w:t> </w:t>
      </w:r>
      <w:r>
        <w:rPr/>
        <w:t>von</w:t>
      </w:r>
      <w:r>
        <w:rPr>
          <w:spacing w:val="48"/>
        </w:rPr>
        <w:t> </w:t>
      </w:r>
      <w:r>
        <w:rPr>
          <w:spacing w:val="-1"/>
        </w:rPr>
        <w:t>Walter</w:t>
      </w:r>
      <w:r>
        <w:rPr>
          <w:spacing w:val="47"/>
        </w:rPr>
        <w:t> </w:t>
      </w:r>
      <w:r>
        <w:rPr/>
        <w:t>Züst.</w:t>
      </w:r>
      <w:r>
        <w:rPr>
          <w:spacing w:val="37"/>
        </w:rPr>
        <w:t> </w:t>
      </w:r>
      <w:r>
        <w:rPr/>
        <w:t>Im</w:t>
      </w:r>
      <w:r>
        <w:rPr>
          <w:spacing w:val="48"/>
        </w:rPr>
        <w:t> </w:t>
      </w:r>
      <w:r>
        <w:rPr/>
        <w:t>Jahr</w:t>
      </w:r>
      <w:r>
        <w:rPr>
          <w:spacing w:val="26"/>
        </w:rPr>
        <w:t> </w:t>
      </w:r>
      <w:r>
        <w:rPr/>
        <w:t>2015</w:t>
      </w:r>
      <w:r>
        <w:rPr>
          <w:spacing w:val="26"/>
        </w:rPr>
        <w:t> </w:t>
      </w:r>
      <w:r>
        <w:rPr>
          <w:spacing w:val="1"/>
        </w:rPr>
        <w:t>kaufte</w:t>
      </w:r>
      <w:r>
        <w:rPr>
          <w:spacing w:val="27"/>
        </w:rPr>
        <w:t> </w:t>
      </w:r>
      <w:r>
        <w:rPr/>
        <w:t>er</w:t>
      </w:r>
      <w:r>
        <w:rPr>
          <w:spacing w:val="26"/>
        </w:rPr>
        <w:t> </w:t>
      </w:r>
      <w:r>
        <w:rPr/>
        <w:t>das</w:t>
      </w:r>
      <w:r>
        <w:rPr>
          <w:spacing w:val="27"/>
        </w:rPr>
        <w:t> </w:t>
      </w:r>
      <w:r>
        <w:rPr/>
        <w:t>alte</w:t>
      </w:r>
      <w:r>
        <w:rPr>
          <w:spacing w:val="27"/>
        </w:rPr>
        <w:t> </w:t>
      </w:r>
      <w:r>
        <w:rPr>
          <w:spacing w:val="-1"/>
        </w:rPr>
        <w:t>Stickerhöckli</w:t>
      </w:r>
      <w:r>
        <w:rPr>
          <w:spacing w:val="26"/>
        </w:rPr>
        <w:t> </w:t>
      </w:r>
      <w:r>
        <w:rPr/>
        <w:t>und</w:t>
      </w:r>
      <w:r>
        <w:rPr>
          <w:spacing w:val="30"/>
        </w:rPr>
        <w:t> </w:t>
      </w:r>
      <w:r>
        <w:rPr/>
        <w:t>hat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Eigenregie</w:t>
      </w:r>
      <w:r>
        <w:rPr>
          <w:spacing w:val="2"/>
        </w:rPr>
        <w:t> </w:t>
      </w:r>
      <w:r>
        <w:rPr>
          <w:spacing w:val="-1"/>
        </w:rPr>
        <w:t>energetisch</w:t>
      </w:r>
      <w:r>
        <w:rPr>
          <w:spacing w:val="2"/>
        </w:rPr>
        <w:t> </w:t>
      </w:r>
      <w:r>
        <w:rPr/>
        <w:t>saniert.</w:t>
      </w:r>
      <w:r>
        <w:rPr>
          <w:spacing w:val="27"/>
        </w:rPr>
        <w:t> </w:t>
      </w:r>
      <w:r>
        <w:rPr>
          <w:spacing w:val="-1"/>
        </w:rPr>
        <w:t>Diese</w:t>
      </w:r>
      <w:r>
        <w:rPr>
          <w:spacing w:val="37"/>
        </w:rPr>
        <w:t> </w:t>
      </w:r>
      <w:r>
        <w:rPr>
          <w:spacing w:val="-1"/>
        </w:rPr>
        <w:t>Aufgabe</w:t>
      </w:r>
      <w:r>
        <w:rPr>
          <w:spacing w:val="38"/>
        </w:rPr>
        <w:t> </w:t>
      </w:r>
      <w:r>
        <w:rPr/>
        <w:t>erwies</w:t>
      </w:r>
      <w:r>
        <w:rPr>
          <w:spacing w:val="37"/>
        </w:rPr>
        <w:t> </w:t>
      </w:r>
      <w:r>
        <w:rPr/>
        <w:t>sich</w:t>
      </w:r>
      <w:r>
        <w:rPr>
          <w:spacing w:val="38"/>
        </w:rPr>
        <w:t> </w:t>
      </w:r>
      <w:r>
        <w:rPr/>
        <w:t>als</w:t>
      </w:r>
      <w:r>
        <w:rPr>
          <w:spacing w:val="38"/>
        </w:rPr>
        <w:t> </w:t>
      </w:r>
      <w:r>
        <w:rPr>
          <w:spacing w:val="-1"/>
        </w:rPr>
        <w:t>besonders</w:t>
      </w:r>
      <w:r>
        <w:rPr>
          <w:spacing w:val="37"/>
        </w:rPr>
        <w:t> </w:t>
      </w:r>
      <w:r>
        <w:rPr>
          <w:spacing w:val="-1"/>
        </w:rPr>
        <w:t>anspruchsvoll,</w:t>
      </w:r>
      <w:r>
        <w:rPr>
          <w:spacing w:val="8"/>
        </w:rPr>
        <w:t> </w:t>
      </w:r>
      <w:r>
        <w:rPr/>
        <w:t>weil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Haus</w:t>
      </w:r>
      <w:r>
        <w:rPr>
          <w:spacing w:val="19"/>
        </w:rPr>
        <w:t> </w:t>
      </w:r>
      <w:r>
        <w:rPr>
          <w:spacing w:val="-1"/>
        </w:rPr>
        <w:t>sehr</w:t>
      </w:r>
      <w:r>
        <w:rPr>
          <w:spacing w:val="19"/>
        </w:rPr>
        <w:t> </w:t>
      </w:r>
      <w:r>
        <w:rPr/>
        <w:t>klein</w:t>
      </w:r>
      <w:r>
        <w:rPr>
          <w:spacing w:val="19"/>
        </w:rPr>
        <w:t> </w:t>
      </w:r>
      <w:r>
        <w:rPr/>
        <w:t>ist</w:t>
      </w:r>
      <w:r>
        <w:rPr>
          <w:spacing w:val="29"/>
        </w:rPr>
        <w:t> </w:t>
      </w:r>
      <w:r>
        <w:rPr/>
        <w:t>und einen </w:t>
      </w:r>
      <w:r>
        <w:rPr>
          <w:spacing w:val="-1"/>
        </w:rPr>
        <w:t>Kreuzgiebel</w:t>
      </w:r>
      <w:r>
        <w:rPr/>
        <w:t> hat.</w:t>
      </w:r>
    </w:p>
    <w:p>
      <w:pPr>
        <w:pStyle w:val="BodyText"/>
        <w:spacing w:line="232" w:lineRule="auto" w:before="15"/>
        <w:ind w:right="0"/>
        <w:jc w:val="both"/>
      </w:pPr>
      <w:r>
        <w:rPr>
          <w:spacing w:val="1"/>
        </w:rPr>
        <w:t>Das</w:t>
      </w:r>
      <w:r>
        <w:rPr>
          <w:spacing w:val="29"/>
        </w:rPr>
        <w:t> </w:t>
      </w:r>
      <w:r>
        <w:rPr/>
        <w:t>Resultat</w:t>
      </w:r>
      <w:r>
        <w:rPr>
          <w:spacing w:val="30"/>
        </w:rPr>
        <w:t> </w:t>
      </w:r>
      <w:r>
        <w:rPr/>
        <w:t>ist</w:t>
      </w:r>
      <w:r>
        <w:rPr>
          <w:spacing w:val="29"/>
        </w:rPr>
        <w:t> </w:t>
      </w:r>
      <w:r>
        <w:rPr/>
        <w:t>ein</w:t>
      </w:r>
      <w:r>
        <w:rPr>
          <w:spacing w:val="30"/>
        </w:rPr>
        <w:t> </w:t>
      </w:r>
      <w:r>
        <w:rPr>
          <w:spacing w:val="-1"/>
        </w:rPr>
        <w:t>tiefer</w:t>
      </w:r>
      <w:r>
        <w:rPr>
          <w:spacing w:val="30"/>
        </w:rPr>
        <w:t> </w:t>
      </w:r>
      <w:r>
        <w:rPr/>
        <w:t>Gesamtener-</w:t>
      </w:r>
      <w:r>
        <w:rPr>
          <w:spacing w:val="25"/>
        </w:rPr>
        <w:t> </w:t>
      </w:r>
      <w:r>
        <w:rPr/>
        <w:t>giebedarf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4’600</w:t>
      </w:r>
      <w:r>
        <w:rPr>
          <w:spacing w:val="-2"/>
        </w:rPr>
        <w:t> kWh/a,</w:t>
      </w:r>
      <w:r>
        <w:rPr>
          <w:spacing w:val="-13"/>
        </w:rPr>
        <w:t> </w:t>
      </w:r>
      <w:r>
        <w:rPr/>
        <w:t>der</w:t>
      </w:r>
      <w:r>
        <w:rPr>
          <w:spacing w:val="-2"/>
        </w:rPr>
        <w:t> </w:t>
      </w:r>
      <w:r>
        <w:rPr>
          <w:spacing w:val="-1"/>
        </w:rPr>
        <w:t>dank</w:t>
      </w:r>
      <w:r>
        <w:rPr>
          <w:spacing w:val="-2"/>
        </w:rPr>
        <w:t> </w:t>
      </w:r>
      <w:r>
        <w:rPr/>
        <w:t>guter</w:t>
      </w:r>
      <w:r>
        <w:rPr>
          <w:spacing w:val="22"/>
        </w:rPr>
        <w:t> </w:t>
      </w:r>
      <w:r>
        <w:rPr/>
        <w:t>Dämmung</w:t>
      </w:r>
      <w:r>
        <w:rPr>
          <w:spacing w:val="47"/>
        </w:rPr>
        <w:t> </w:t>
      </w:r>
      <w:r>
        <w:rPr/>
        <w:t>der</w:t>
      </w:r>
      <w:r>
        <w:rPr>
          <w:spacing w:val="48"/>
        </w:rPr>
        <w:t> </w:t>
      </w:r>
      <w:r>
        <w:rPr/>
        <w:t>Gebäudehülle</w:t>
      </w:r>
      <w:r>
        <w:rPr>
          <w:spacing w:val="47"/>
        </w:rPr>
        <w:t> </w:t>
      </w:r>
      <w:r>
        <w:rPr/>
        <w:t>erzielt</w:t>
      </w:r>
      <w:r>
        <w:rPr>
          <w:spacing w:val="48"/>
        </w:rPr>
        <w:t> </w:t>
      </w:r>
      <w:r>
        <w:rPr>
          <w:spacing w:val="-2"/>
        </w:rPr>
        <w:t>wird.</w:t>
      </w:r>
      <w:r>
        <w:rPr>
          <w:spacing w:val="26"/>
        </w:rPr>
        <w:t> </w:t>
      </w:r>
      <w:r>
        <w:rPr>
          <w:spacing w:val="-2"/>
        </w:rPr>
        <w:t>Wegen</w:t>
      </w:r>
      <w:r>
        <w:rPr>
          <w:spacing w:val="27"/>
        </w:rPr>
        <w:t> </w:t>
      </w:r>
      <w:r>
        <w:rPr/>
        <w:t>eines</w:t>
      </w:r>
      <w:r>
        <w:rPr>
          <w:spacing w:val="28"/>
        </w:rPr>
        <w:t> </w:t>
      </w:r>
      <w:r>
        <w:rPr/>
        <w:t>Besitzerwechsels</w:t>
      </w:r>
      <w:r>
        <w:rPr>
          <w:spacing w:val="27"/>
        </w:rPr>
        <w:t> </w:t>
      </w:r>
      <w:r>
        <w:rPr/>
        <w:t>sind</w:t>
      </w:r>
      <w:r>
        <w:rPr>
          <w:spacing w:val="28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1"/>
        </w:rPr>
        <w:t>Energieverbrauchszahlen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Sanierung</w:t>
      </w:r>
      <w:r>
        <w:rPr>
          <w:spacing w:val="29"/>
        </w:rPr>
        <w:t> </w:t>
      </w:r>
      <w:r>
        <w:rPr>
          <w:spacing w:val="-1"/>
        </w:rPr>
        <w:t>anhand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Schweizer</w:t>
      </w:r>
      <w:r>
        <w:rPr>
          <w:spacing w:val="22"/>
        </w:rPr>
        <w:t> </w:t>
      </w:r>
      <w:r>
        <w:rPr>
          <w:spacing w:val="-1"/>
        </w:rPr>
        <w:t>Durchschnittsver-</w:t>
      </w:r>
      <w:r>
        <w:rPr>
          <w:spacing w:val="42"/>
        </w:rPr>
        <w:t> </w:t>
      </w:r>
      <w:r>
        <w:rPr>
          <w:spacing w:val="-1"/>
        </w:rPr>
        <w:t>brauchs</w:t>
      </w:r>
      <w:r>
        <w:rPr>
          <w:spacing w:val="16"/>
        </w:rPr>
        <w:t> </w:t>
      </w:r>
      <w:r>
        <w:rPr/>
        <w:t>von</w:t>
      </w:r>
      <w:r>
        <w:rPr>
          <w:spacing w:val="16"/>
        </w:rPr>
        <w:t> </w:t>
      </w:r>
      <w:r>
        <w:rPr/>
        <w:t>220</w:t>
      </w:r>
      <w:r>
        <w:rPr>
          <w:spacing w:val="17"/>
        </w:rPr>
        <w:t> </w:t>
      </w:r>
      <w:r>
        <w:rPr/>
        <w:t>kWh/m</w:t>
      </w:r>
      <w:r>
        <w:rPr>
          <w:position w:val="6"/>
          <w:sz w:val="10"/>
          <w:szCs w:val="10"/>
        </w:rPr>
        <w:t>2</w:t>
      </w:r>
      <w:r>
        <w:rPr/>
        <w:t>a</w:t>
      </w:r>
      <w:r>
        <w:rPr>
          <w:spacing w:val="16"/>
        </w:rPr>
        <w:t> </w:t>
      </w:r>
      <w:r>
        <w:rPr/>
        <w:t>geschätzt</w:t>
      </w:r>
      <w:r>
        <w:rPr>
          <w:spacing w:val="17"/>
        </w:rPr>
        <w:t> </w:t>
      </w:r>
      <w:r>
        <w:rPr/>
        <w:t>wor-</w:t>
      </w:r>
      <w:r>
        <w:rPr>
          <w:spacing w:val="30"/>
        </w:rPr>
        <w:t> </w:t>
      </w:r>
      <w:r>
        <w:rPr/>
        <w:t>den.</w:t>
      </w:r>
    </w:p>
    <w:p>
      <w:pPr>
        <w:pStyle w:val="BodyText"/>
        <w:spacing w:line="232" w:lineRule="auto"/>
        <w:ind w:right="0" w:firstLine="340"/>
        <w:jc w:val="both"/>
      </w:pPr>
      <w:r>
        <w:rPr/>
        <w:t>Solarthermische</w:t>
      </w:r>
      <w:r>
        <w:rPr>
          <w:spacing w:val="1"/>
        </w:rPr>
        <w:t> </w:t>
      </w:r>
      <w:r>
        <w:rPr>
          <w:spacing w:val="-1"/>
        </w:rPr>
        <w:t>Kollektoren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dem</w:t>
      </w:r>
      <w:r>
        <w:rPr>
          <w:spacing w:val="26"/>
        </w:rPr>
        <w:t> </w:t>
      </w:r>
      <w:r>
        <w:rPr>
          <w:spacing w:val="-1"/>
        </w:rPr>
        <w:t>Hausdach</w:t>
      </w:r>
      <w:r>
        <w:rPr>
          <w:spacing w:val="20"/>
        </w:rPr>
        <w:t> </w:t>
      </w:r>
      <w:r>
        <w:rPr>
          <w:spacing w:val="-1"/>
        </w:rPr>
        <w:t>decken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>
          <w:spacing w:val="-1"/>
        </w:rPr>
        <w:t>Warmwasserbedarf.</w:t>
      </w:r>
      <w:r>
        <w:rPr>
          <w:spacing w:val="28"/>
        </w:rPr>
        <w:t> </w:t>
      </w:r>
      <w:r>
        <w:rPr/>
        <w:t>Eine</w:t>
      </w:r>
      <w:r>
        <w:rPr>
          <w:spacing w:val="-6"/>
        </w:rPr>
        <w:t> </w:t>
      </w:r>
      <w:r>
        <w:rPr/>
        <w:t>30.2</w:t>
      </w:r>
      <w:r>
        <w:rPr>
          <w:spacing w:val="-6"/>
        </w:rPr>
        <w:t> </w:t>
      </w:r>
      <w:r>
        <w:rPr/>
        <w:t>m</w:t>
      </w:r>
      <w:r>
        <w:rPr>
          <w:position w:val="6"/>
          <w:sz w:val="10"/>
        </w:rPr>
        <w:t>2</w:t>
      </w:r>
      <w:r>
        <w:rPr>
          <w:spacing w:val="16"/>
          <w:position w:val="6"/>
          <w:sz w:val="10"/>
        </w:rPr>
        <w:t> </w:t>
      </w:r>
      <w:r>
        <w:rPr>
          <w:spacing w:val="-2"/>
        </w:rPr>
        <w:t>grosse</w:t>
      </w:r>
      <w:r>
        <w:rPr>
          <w:spacing w:val="-6"/>
        </w:rPr>
        <w:t> </w:t>
      </w:r>
      <w:r>
        <w:rPr>
          <w:spacing w:val="-2"/>
        </w:rPr>
        <w:t>5-kW-PV-Anlage</w:t>
      </w:r>
      <w:r>
        <w:rPr>
          <w:spacing w:val="-5"/>
        </w:rPr>
        <w:t> </w:t>
      </w:r>
      <w:r>
        <w:rPr/>
        <w:t>befin-</w:t>
      </w:r>
      <w:r>
        <w:rPr>
          <w:spacing w:val="31"/>
        </w:rPr>
        <w:t> </w:t>
      </w:r>
      <w:r>
        <w:rPr/>
        <w:t>det</w:t>
      </w:r>
      <w:r>
        <w:rPr>
          <w:spacing w:val="16"/>
        </w:rPr>
        <w:t> </w:t>
      </w:r>
      <w:r>
        <w:rPr/>
        <w:t>sich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/>
        <w:t>einer</w:t>
      </w:r>
      <w:r>
        <w:rPr>
          <w:spacing w:val="16"/>
        </w:rPr>
        <w:t> </w:t>
      </w:r>
      <w:r>
        <w:rPr/>
        <w:t>bestehenden</w:t>
      </w:r>
      <w:r>
        <w:rPr>
          <w:spacing w:val="16"/>
        </w:rPr>
        <w:t> </w:t>
      </w:r>
      <w:r>
        <w:rPr/>
        <w:t>Stützmauer</w:t>
      </w:r>
      <w:r>
        <w:rPr>
          <w:spacing w:val="27"/>
        </w:rPr>
        <w:t> </w:t>
      </w:r>
      <w:r>
        <w:rPr/>
        <w:t>und</w:t>
      </w:r>
      <w:r>
        <w:rPr>
          <w:spacing w:val="41"/>
        </w:rPr>
        <w:t> </w:t>
      </w:r>
      <w:r>
        <w:rPr/>
        <w:t>auf</w:t>
      </w:r>
      <w:r>
        <w:rPr>
          <w:spacing w:val="42"/>
        </w:rPr>
        <w:t> </w:t>
      </w:r>
      <w:r>
        <w:rPr/>
        <w:t>dem</w:t>
      </w:r>
      <w:r>
        <w:rPr>
          <w:spacing w:val="41"/>
        </w:rPr>
        <w:t> </w:t>
      </w:r>
      <w:r>
        <w:rPr>
          <w:spacing w:val="-1"/>
        </w:rPr>
        <w:t>Wiesenbord</w:t>
      </w:r>
      <w:r>
        <w:rPr>
          <w:spacing w:val="42"/>
        </w:rPr>
        <w:t> </w:t>
      </w:r>
      <w:r>
        <w:rPr/>
        <w:t>vor</w:t>
      </w:r>
      <w:r>
        <w:rPr>
          <w:spacing w:val="42"/>
        </w:rPr>
        <w:t> </w:t>
      </w:r>
      <w:r>
        <w:rPr/>
        <w:t>dem</w:t>
      </w:r>
      <w:r>
        <w:rPr>
          <w:spacing w:val="41"/>
        </w:rPr>
        <w:t> </w:t>
      </w:r>
      <w:r>
        <w:rPr/>
        <w:t>Haus,</w:t>
      </w:r>
    </w:p>
    <w:p>
      <w:pPr>
        <w:pStyle w:val="BodyText"/>
        <w:spacing w:line="230" w:lineRule="exact" w:before="74"/>
        <w:ind w:right="0" w:firstLine="0"/>
        <w:jc w:val="both"/>
      </w:pPr>
      <w:r>
        <w:rPr/>
        <w:br w:type="column"/>
      </w:r>
      <w:r>
        <w:rPr/>
        <w:t>weil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notwendige</w:t>
      </w:r>
      <w:r>
        <w:rPr>
          <w:spacing w:val="11"/>
        </w:rPr>
        <w:t> </w:t>
      </w:r>
      <w:r>
        <w:rPr>
          <w:spacing w:val="1"/>
        </w:rPr>
        <w:t>Platz</w:t>
      </w:r>
      <w:r>
        <w:rPr>
          <w:spacing w:val="11"/>
        </w:rPr>
        <w:t> </w:t>
      </w:r>
      <w:r>
        <w:rPr/>
        <w:t>auf</w:t>
      </w:r>
      <w:r>
        <w:rPr>
          <w:spacing w:val="11"/>
        </w:rPr>
        <w:t> </w:t>
      </w:r>
      <w:r>
        <w:rPr/>
        <w:t>dem</w:t>
      </w:r>
      <w:r>
        <w:rPr>
          <w:spacing w:val="11"/>
        </w:rPr>
        <w:t> </w:t>
      </w:r>
      <w:r>
        <w:rPr/>
        <w:t>kleinen</w:t>
      </w:r>
      <w:r>
        <w:rPr>
          <w:spacing w:val="23"/>
        </w:rPr>
        <w:t> </w:t>
      </w:r>
      <w:r>
        <w:rPr>
          <w:spacing w:val="-1"/>
        </w:rPr>
        <w:t>Kreuzgiebeldach</w:t>
      </w:r>
      <w:r>
        <w:rPr>
          <w:spacing w:val="1"/>
        </w:rPr>
        <w:t> </w:t>
      </w:r>
      <w:r>
        <w:rPr>
          <w:spacing w:val="-1"/>
        </w:rPr>
        <w:t>fehlte.</w:t>
      </w:r>
      <w:r>
        <w:rPr>
          <w:spacing w:val="-10"/>
        </w:rPr>
        <w:t> </w:t>
      </w:r>
      <w:r>
        <w:rPr/>
        <w:t>Beide</w:t>
      </w:r>
      <w:r>
        <w:rPr>
          <w:spacing w:val="1"/>
        </w:rPr>
        <w:t> </w:t>
      </w:r>
      <w:r>
        <w:rPr>
          <w:spacing w:val="-1"/>
        </w:rPr>
        <w:t>Anlagen</w:t>
      </w:r>
      <w:r>
        <w:rPr>
          <w:spacing w:val="1"/>
        </w:rPr>
        <w:t> </w:t>
      </w:r>
      <w:r>
        <w:rPr>
          <w:spacing w:val="-2"/>
        </w:rPr>
        <w:t>pro-</w:t>
      </w:r>
      <w:r>
        <w:rPr>
          <w:spacing w:val="47"/>
        </w:rPr>
        <w:t> </w:t>
      </w:r>
      <w:r>
        <w:rPr>
          <w:spacing w:val="-1"/>
        </w:rPr>
        <w:t>duzieren</w:t>
      </w:r>
      <w:r>
        <w:rPr>
          <w:spacing w:val="1"/>
        </w:rPr>
        <w:t> </w:t>
      </w:r>
      <w:r>
        <w:rPr>
          <w:spacing w:val="-1"/>
        </w:rPr>
        <w:t>insgesamt</w:t>
      </w:r>
      <w:r>
        <w:rPr>
          <w:spacing w:val="1"/>
        </w:rPr>
        <w:t> </w:t>
      </w:r>
      <w:r>
        <w:rPr/>
        <w:t>6’000</w:t>
      </w:r>
      <w:r>
        <w:rPr>
          <w:spacing w:val="1"/>
        </w:rPr>
        <w:t> </w:t>
      </w:r>
      <w:r>
        <w:rPr>
          <w:spacing w:val="-2"/>
        </w:rPr>
        <w:t>kWh/a.</w:t>
      </w:r>
      <w:r>
        <w:rPr>
          <w:spacing w:val="-10"/>
        </w:rPr>
        <w:t> </w:t>
      </w:r>
      <w:r>
        <w:rPr>
          <w:spacing w:val="-1"/>
        </w:rPr>
        <w:t>Dies</w:t>
      </w:r>
      <w:r>
        <w:rPr>
          <w:spacing w:val="1"/>
        </w:rPr>
        <w:t> </w:t>
      </w:r>
      <w:r>
        <w:rPr/>
        <w:t>ent-</w:t>
      </w:r>
      <w:r>
        <w:rPr>
          <w:spacing w:val="29"/>
        </w:rPr>
        <w:t> </w:t>
      </w:r>
      <w:r>
        <w:rPr>
          <w:spacing w:val="-1"/>
        </w:rPr>
        <w:t>spricht</w:t>
      </w:r>
      <w:r>
        <w:rPr>
          <w:spacing w:val="46"/>
        </w:rPr>
        <w:t> </w:t>
      </w:r>
      <w:r>
        <w:rPr/>
        <w:t>einer</w:t>
      </w:r>
      <w:r>
        <w:rPr>
          <w:spacing w:val="47"/>
        </w:rPr>
        <w:t> </w:t>
      </w:r>
      <w:r>
        <w:rPr>
          <w:spacing w:val="-1"/>
        </w:rPr>
        <w:t>Eigenenergieversorgung</w:t>
      </w:r>
      <w:r>
        <w:rPr>
          <w:spacing w:val="46"/>
        </w:rPr>
        <w:t> </w:t>
      </w:r>
      <w:r>
        <w:rPr/>
        <w:t>von</w:t>
      </w:r>
      <w:r>
        <w:rPr>
          <w:spacing w:val="28"/>
        </w:rPr>
        <w:t> </w:t>
      </w:r>
      <w:r>
        <w:rPr/>
        <w:t>131%.</w:t>
      </w:r>
    </w:p>
    <w:p>
      <w:pPr>
        <w:pStyle w:val="BodyText"/>
        <w:spacing w:line="230" w:lineRule="exact"/>
        <w:ind w:right="0"/>
        <w:jc w:val="both"/>
      </w:pPr>
      <w:r>
        <w:rPr/>
        <w:t>Der</w:t>
      </w:r>
      <w:r>
        <w:rPr>
          <w:spacing w:val="31"/>
        </w:rPr>
        <w:t> </w:t>
      </w:r>
      <w:r>
        <w:rPr>
          <w:spacing w:val="-1"/>
        </w:rPr>
        <w:t>Solarstromüberschuss</w:t>
      </w:r>
      <w:r>
        <w:rPr>
          <w:spacing w:val="32"/>
        </w:rPr>
        <w:t> </w:t>
      </w:r>
      <w:r>
        <w:rPr/>
        <w:t>von</w:t>
      </w:r>
      <w:r>
        <w:rPr>
          <w:spacing w:val="31"/>
        </w:rPr>
        <w:t> </w:t>
      </w:r>
      <w:r>
        <w:rPr/>
        <w:t>1’400</w:t>
      </w:r>
      <w:r>
        <w:rPr>
          <w:spacing w:val="23"/>
        </w:rPr>
        <w:t> </w:t>
      </w:r>
      <w:r>
        <w:rPr>
          <w:spacing w:val="-2"/>
        </w:rPr>
        <w:t>kWh/a</w:t>
      </w:r>
      <w:r>
        <w:rPr>
          <w:spacing w:val="1"/>
        </w:rPr>
        <w:t> </w:t>
      </w:r>
      <w:r>
        <w:rPr>
          <w:spacing w:val="-1"/>
        </w:rPr>
        <w:t>reicht</w:t>
      </w:r>
      <w:r>
        <w:rPr>
          <w:spacing w:val="1"/>
        </w:rPr>
        <w:t> </w:t>
      </w:r>
      <w:r>
        <w:rPr/>
        <w:t>aus,</w:t>
      </w:r>
      <w:r>
        <w:rPr>
          <w:spacing w:val="-10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>
          <w:spacing w:val="-1"/>
        </w:rPr>
        <w:t>Jahresbedarf</w:t>
      </w:r>
      <w:r>
        <w:rPr>
          <w:spacing w:val="1"/>
        </w:rPr>
        <w:t> </w:t>
      </w:r>
      <w:r>
        <w:rPr/>
        <w:t>des</w:t>
      </w:r>
      <w:r>
        <w:rPr>
          <w:spacing w:val="22"/>
        </w:rPr>
        <w:t> </w:t>
      </w:r>
      <w:r>
        <w:rPr/>
        <w:t>eigenen</w:t>
      </w:r>
      <w:r>
        <w:rPr>
          <w:spacing w:val="-10"/>
        </w:rPr>
        <w:t> </w:t>
      </w:r>
      <w:r>
        <w:rPr>
          <w:spacing w:val="-1"/>
        </w:rPr>
        <w:t>Leichtelektromobils</w:t>
      </w:r>
      <w:r>
        <w:rPr>
          <w:spacing w:val="-24"/>
        </w:rPr>
        <w:t> </w:t>
      </w:r>
      <w:r>
        <w:rPr/>
        <w:t>TWIKE</w:t>
      </w:r>
      <w:r>
        <w:rPr>
          <w:spacing w:val="-10"/>
        </w:rPr>
        <w:t> </w:t>
      </w:r>
      <w:r>
        <w:rPr/>
        <w:t>vierfach</w:t>
      </w:r>
      <w:r>
        <w:rPr>
          <w:spacing w:val="26"/>
        </w:rPr>
        <w:t> </w:t>
      </w:r>
      <w:r>
        <w:rPr/>
        <w:t>zu </w:t>
      </w:r>
      <w:r>
        <w:rPr>
          <w:spacing w:val="-1"/>
        </w:rPr>
        <w:t>decken.</w:t>
      </w:r>
    </w:p>
    <w:p>
      <w:pPr>
        <w:pStyle w:val="BodyText"/>
        <w:spacing w:line="230" w:lineRule="exact"/>
        <w:ind w:right="0"/>
        <w:jc w:val="both"/>
      </w:pPr>
      <w:r>
        <w:rPr>
          <w:spacing w:val="-2"/>
        </w:rPr>
        <w:t>Für</w:t>
      </w:r>
      <w:r>
        <w:rPr>
          <w:spacing w:val="37"/>
        </w:rPr>
        <w:t> </w:t>
      </w:r>
      <w:r>
        <w:rPr>
          <w:spacing w:val="-1"/>
        </w:rPr>
        <w:t>Walter</w:t>
      </w:r>
      <w:r>
        <w:rPr>
          <w:spacing w:val="38"/>
        </w:rPr>
        <w:t> </w:t>
      </w:r>
      <w:r>
        <w:rPr/>
        <w:t>Züst</w:t>
      </w:r>
      <w:r>
        <w:rPr>
          <w:spacing w:val="37"/>
        </w:rPr>
        <w:t> </w:t>
      </w:r>
      <w:r>
        <w:rPr/>
        <w:t>ist</w:t>
      </w:r>
      <w:r>
        <w:rPr>
          <w:spacing w:val="38"/>
        </w:rPr>
        <w:t> </w:t>
      </w:r>
      <w:r>
        <w:rPr/>
        <w:t>ein</w:t>
      </w:r>
      <w:r>
        <w:rPr>
          <w:spacing w:val="38"/>
        </w:rPr>
        <w:t> </w:t>
      </w:r>
      <w:r>
        <w:rPr>
          <w:spacing w:val="-2"/>
        </w:rPr>
        <w:t>Wohnhaus</w:t>
      </w:r>
      <w:r>
        <w:rPr>
          <w:spacing w:val="37"/>
        </w:rPr>
        <w:t> </w:t>
      </w:r>
      <w:r>
        <w:rPr>
          <w:spacing w:val="-2"/>
        </w:rPr>
        <w:t>kein</w:t>
      </w:r>
      <w:r>
        <w:rPr>
          <w:spacing w:val="21"/>
        </w:rPr>
        <w:t> </w:t>
      </w:r>
      <w:r>
        <w:rPr>
          <w:spacing w:val="-1"/>
        </w:rPr>
        <w:t>festes</w:t>
      </w:r>
      <w:r>
        <w:rPr>
          <w:spacing w:val="-8"/>
        </w:rPr>
        <w:t> </w:t>
      </w:r>
      <w:r>
        <w:rPr/>
        <w:t>Eigentum,</w:t>
      </w:r>
      <w:r>
        <w:rPr>
          <w:spacing w:val="-19"/>
        </w:rPr>
        <w:t> </w:t>
      </w:r>
      <w:r>
        <w:rPr>
          <w:spacing w:val="-1"/>
        </w:rPr>
        <w:t>sondern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>
          <w:spacing w:val="-1"/>
        </w:rPr>
        <w:t>Leihgabe</w:t>
      </w:r>
      <w:r>
        <w:rPr>
          <w:spacing w:val="-8"/>
        </w:rPr>
        <w:t> </w:t>
      </w:r>
      <w:r>
        <w:rPr/>
        <w:t>auf</w:t>
      </w:r>
      <w:r>
        <w:rPr>
          <w:spacing w:val="25"/>
        </w:rPr>
        <w:t> </w:t>
      </w:r>
      <w:r>
        <w:rPr/>
        <w:t>Zeit,</w:t>
      </w:r>
      <w:r>
        <w:rPr>
          <w:spacing w:val="-6"/>
        </w:rPr>
        <w:t> </w:t>
      </w:r>
      <w:r>
        <w:rPr>
          <w:spacing w:val="-1"/>
        </w:rPr>
        <w:t>denn</w:t>
      </w:r>
      <w:r>
        <w:rPr>
          <w:spacing w:val="5"/>
        </w:rPr>
        <w:t> </w:t>
      </w:r>
      <w:r>
        <w:rPr/>
        <w:t>ein</w:t>
      </w:r>
      <w:r>
        <w:rPr>
          <w:spacing w:val="5"/>
        </w:rPr>
        <w:t> </w:t>
      </w:r>
      <w:r>
        <w:rPr/>
        <w:t>gut</w:t>
      </w:r>
      <w:r>
        <w:rPr>
          <w:spacing w:val="5"/>
        </w:rPr>
        <w:t> </w:t>
      </w:r>
      <w:r>
        <w:rPr/>
        <w:t>gebautes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gepflegtes</w:t>
      </w:r>
      <w:r>
        <w:rPr>
          <w:spacing w:val="24"/>
        </w:rPr>
        <w:t> </w:t>
      </w:r>
      <w:r>
        <w:rPr/>
        <w:t>Haus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mehrfache</w:t>
      </w:r>
      <w:r>
        <w:rPr>
          <w:spacing w:val="-3"/>
        </w:rPr>
        <w:t> </w:t>
      </w:r>
      <w:r>
        <w:rPr>
          <w:spacing w:val="-1"/>
        </w:rPr>
        <w:t>Lebensdauer</w:t>
      </w:r>
      <w:r>
        <w:rPr>
          <w:spacing w:val="-3"/>
        </w:rPr>
        <w:t> </w:t>
      </w:r>
      <w:r>
        <w:rPr/>
        <w:t>eines</w:t>
      </w:r>
      <w:r>
        <w:rPr>
          <w:spacing w:val="28"/>
        </w:rPr>
        <w:t> </w:t>
      </w:r>
      <w:r>
        <w:rPr>
          <w:spacing w:val="-1"/>
        </w:rPr>
        <w:t>Menschen.</w:t>
      </w:r>
      <w:r>
        <w:rPr>
          <w:spacing w:val="-5"/>
        </w:rPr>
        <w:t> </w:t>
      </w:r>
      <w:r>
        <w:rPr/>
        <w:t>Deshalb</w:t>
      </w:r>
      <w:r>
        <w:rPr>
          <w:spacing w:val="5"/>
        </w:rPr>
        <w:t> </w:t>
      </w:r>
      <w:r>
        <w:rPr/>
        <w:t>hat</w:t>
      </w:r>
      <w:r>
        <w:rPr>
          <w:spacing w:val="5"/>
        </w:rPr>
        <w:t> </w:t>
      </w:r>
      <w:r>
        <w:rPr/>
        <w:t>er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Gebäude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22"/>
        </w:rPr>
        <w:t> </w:t>
      </w:r>
      <w:r>
        <w:rPr/>
        <w:t>saniert,</w:t>
      </w:r>
      <w:r>
        <w:rPr>
          <w:spacing w:val="3"/>
        </w:rPr>
        <w:t> </w:t>
      </w:r>
      <w:r>
        <w:rPr/>
        <w:t>dass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auch</w:t>
      </w:r>
      <w:r>
        <w:rPr>
          <w:spacing w:val="14"/>
        </w:rPr>
        <w:t> </w:t>
      </w:r>
      <w:r>
        <w:rPr/>
        <w:t>noch</w:t>
      </w:r>
      <w:r>
        <w:rPr>
          <w:spacing w:val="14"/>
        </w:rPr>
        <w:t> </w:t>
      </w:r>
      <w:r>
        <w:rPr>
          <w:spacing w:val="-1"/>
        </w:rPr>
        <w:t>nach</w:t>
      </w:r>
      <w:r>
        <w:rPr>
          <w:spacing w:val="14"/>
        </w:rPr>
        <w:t> </w:t>
      </w:r>
      <w:r>
        <w:rPr>
          <w:spacing w:val="-1"/>
        </w:rPr>
        <w:t>Jahrzehn-</w:t>
      </w:r>
      <w:r>
        <w:rPr>
          <w:spacing w:val="36"/>
        </w:rPr>
        <w:t> </w:t>
      </w:r>
      <w:r>
        <w:rPr/>
        <w:t>ten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>
          <w:spacing w:val="-1"/>
        </w:rPr>
        <w:t>energetischen</w:t>
      </w:r>
      <w:r>
        <w:rPr>
          <w:spacing w:val="29"/>
        </w:rPr>
        <w:t> </w:t>
      </w:r>
      <w:r>
        <w:rPr>
          <w:spacing w:val="-1"/>
        </w:rPr>
        <w:t>Anforderungen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>
          <w:spacing w:val="-1"/>
        </w:rPr>
        <w:t>Zeit</w:t>
      </w:r>
      <w:r>
        <w:rPr/>
        <w:t> genügt.</w:t>
      </w:r>
    </w:p>
    <w:p>
      <w:pPr>
        <w:pStyle w:val="BodyText"/>
        <w:spacing w:line="230" w:lineRule="exact"/>
        <w:ind w:right="0"/>
        <w:jc w:val="both"/>
      </w:pPr>
      <w:r>
        <w:rPr>
          <w:spacing w:val="-2"/>
        </w:rPr>
        <w:t>Für</w:t>
      </w:r>
      <w:r>
        <w:rPr>
          <w:spacing w:val="41"/>
        </w:rPr>
        <w:t> </w:t>
      </w:r>
      <w:r>
        <w:rPr>
          <w:spacing w:val="-1"/>
        </w:rPr>
        <w:t>diese</w:t>
      </w:r>
      <w:r>
        <w:rPr>
          <w:spacing w:val="42"/>
        </w:rPr>
        <w:t> </w:t>
      </w:r>
      <w:r>
        <w:rPr>
          <w:spacing w:val="-1"/>
        </w:rPr>
        <w:t>PEB-Sanierung</w:t>
      </w:r>
      <w:r>
        <w:rPr>
          <w:spacing w:val="41"/>
        </w:rPr>
        <w:t> </w:t>
      </w:r>
      <w:r>
        <w:rPr/>
        <w:t>erhält</w:t>
      </w:r>
      <w:r>
        <w:rPr>
          <w:spacing w:val="42"/>
        </w:rPr>
        <w:t> </w:t>
      </w:r>
      <w:r>
        <w:rPr>
          <w:spacing w:val="-1"/>
        </w:rPr>
        <w:t>Walter</w:t>
      </w:r>
      <w:r>
        <w:rPr>
          <w:spacing w:val="29"/>
        </w:rPr>
        <w:t> </w:t>
      </w:r>
      <w:r>
        <w:rPr/>
        <w:t>Züst das </w:t>
      </w:r>
      <w:r>
        <w:rPr>
          <w:spacing w:val="-1"/>
        </w:rPr>
        <w:t>PlusEnergieBau-Diplom</w:t>
      </w:r>
      <w:r>
        <w:rPr/>
        <w:t> 2016.</w:t>
      </w:r>
    </w:p>
    <w:p>
      <w:pPr>
        <w:spacing w:before="67"/>
        <w:ind w:left="10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43"/>
        <w:gridCol w:w="741"/>
        <w:gridCol w:w="1010"/>
      </w:tblGrid>
      <w:tr>
        <w:trPr>
          <w:trHeight w:val="111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60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Dach: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60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Boden: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0.23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90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Fenster: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dreifach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1.05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</w:tbl>
    <w:p>
      <w:pPr>
        <w:spacing w:line="172" w:lineRule="exact" w:before="8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tabs>
          <w:tab w:pos="1518" w:val="left" w:leader="none"/>
          <w:tab w:pos="2417" w:val="left" w:leader="none"/>
          <w:tab w:pos="2823" w:val="lef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103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33" w:val="left" w:leader="none"/>
          <w:tab w:pos="2298" w:val="left" w:leader="none"/>
          <w:tab w:pos="2758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(geschätzt):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220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22’660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[20%]</w:t>
      </w:r>
      <w:r>
        <w:rPr>
          <w:rFonts w:ascii="Theinhardt Bold"/>
          <w:sz w:val="14"/>
        </w:rPr>
      </w:r>
    </w:p>
    <w:p>
      <w:pPr>
        <w:tabs>
          <w:tab w:pos="1518" w:val="left" w:leader="none"/>
          <w:tab w:pos="2397" w:val="left" w:leader="none"/>
          <w:tab w:pos="2823" w:val="lef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103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90" w:val="left" w:leader="none"/>
          <w:tab w:pos="2379" w:val="left" w:leader="none"/>
          <w:tab w:pos="3225" w:val="righ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Warmwasser:</w:t>
        <w:tab/>
      </w:r>
      <w:r>
        <w:rPr>
          <w:rFonts w:ascii="Theinhardt Regular"/>
          <w:spacing w:val="-3"/>
          <w:sz w:val="14"/>
        </w:rPr>
        <w:t>8.7</w:t>
        <w:tab/>
      </w:r>
      <w:r>
        <w:rPr>
          <w:rFonts w:ascii="Theinhardt Regular"/>
          <w:sz w:val="14"/>
        </w:rPr>
        <w:t>20</w:t>
        <w:tab/>
      </w:r>
      <w:r>
        <w:rPr>
          <w:rFonts w:ascii="Theinhardt Regular"/>
          <w:spacing w:val="2"/>
          <w:sz w:val="14"/>
        </w:rPr>
        <w:t>900</w:t>
      </w:r>
    </w:p>
    <w:p>
      <w:pPr>
        <w:tabs>
          <w:tab w:pos="1796" w:val="left" w:leader="none"/>
          <w:tab w:pos="2381" w:val="left" w:leader="none"/>
          <w:tab w:pos="2867" w:val="lef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(Pellet):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30.3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67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3’120</w:t>
      </w:r>
    </w:p>
    <w:p>
      <w:pPr>
        <w:tabs>
          <w:tab w:pos="1884" w:val="left" w:leader="none"/>
          <w:tab w:pos="2388" w:val="left" w:leader="none"/>
          <w:tab w:pos="3225" w:val="righ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Elektrizität:</w:t>
        <w:tab/>
      </w:r>
      <w:r>
        <w:rPr>
          <w:rFonts w:ascii="Theinhardt Regular" w:hAnsi="Theinhardt Regular"/>
          <w:spacing w:val="-1"/>
          <w:sz w:val="14"/>
        </w:rPr>
        <w:t>5.6</w:t>
        <w:tab/>
      </w:r>
      <w:r>
        <w:rPr>
          <w:rFonts w:ascii="Theinhardt Regular" w:hAnsi="Theinhardt Regular"/>
          <w:spacing w:val="-4"/>
          <w:sz w:val="14"/>
        </w:rPr>
        <w:t>13</w:t>
        <w:tab/>
      </w:r>
      <w:r>
        <w:rPr>
          <w:rFonts w:ascii="Theinhardt Regular" w:hAnsi="Theinhardt Regular"/>
          <w:spacing w:val="1"/>
          <w:sz w:val="14"/>
        </w:rPr>
        <w:t>580</w:t>
      </w:r>
    </w:p>
    <w:p>
      <w:pPr>
        <w:tabs>
          <w:tab w:pos="1787" w:val="left" w:leader="none"/>
          <w:tab w:pos="2298" w:val="left" w:leader="none"/>
          <w:tab w:pos="2845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44.6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717" w:val="left" w:leader="none"/>
          <w:tab w:pos="1303" w:val="left" w:leader="none"/>
          <w:tab w:pos="1727" w:val="left" w:leader="none"/>
          <w:tab w:pos="2302" w:val="left" w:leader="none"/>
          <w:tab w:pos="2417" w:val="left" w:leader="none"/>
          <w:tab w:pos="2823" w:val="left" w:leader="none"/>
        </w:tabs>
        <w:spacing w:line="207" w:lineRule="auto" w:before="6"/>
        <w:ind w:left="105" w:right="35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PV:</w:t>
        <w:tab/>
        <w:t>30.2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170.3</w:t>
        <w:tab/>
      </w:r>
      <w:r>
        <w:rPr>
          <w:rFonts w:ascii="Theinhardt Regular" w:hAnsi="Theinhardt Regular" w:cs="Theinhardt Regular" w:eastAsia="Theinhardt Regular"/>
          <w:spacing w:val="-9"/>
          <w:sz w:val="14"/>
          <w:szCs w:val="14"/>
        </w:rPr>
        <w:t>111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5’146</w:t>
      </w:r>
    </w:p>
    <w:p>
      <w:pPr>
        <w:tabs>
          <w:tab w:pos="801" w:val="left" w:leader="none"/>
          <w:tab w:pos="1722" w:val="left" w:leader="none"/>
          <w:tab w:pos="2359" w:val="left" w:leader="none"/>
          <w:tab w:pos="2969" w:val="left" w:leader="none"/>
        </w:tabs>
        <w:spacing w:line="154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SK:</w:t>
        <w:tab/>
      </w:r>
      <w:r>
        <w:rPr>
          <w:rFonts w:ascii="Theinhardt Regular"/>
          <w:w w:val="95"/>
          <w:sz w:val="14"/>
        </w:rPr>
        <w:t>5.3</w:t>
        <w:tab/>
      </w:r>
      <w:r>
        <w:rPr>
          <w:rFonts w:ascii="Theinhardt Regular"/>
          <w:spacing w:val="-2"/>
          <w:sz w:val="14"/>
        </w:rPr>
        <w:t>169.8</w:t>
        <w:tab/>
      </w:r>
      <w:r>
        <w:rPr>
          <w:rFonts w:ascii="Theinhardt Regular"/>
          <w:sz w:val="14"/>
        </w:rPr>
        <w:t>20</w:t>
        <w:tab/>
      </w:r>
      <w:r>
        <w:rPr>
          <w:rFonts w:ascii="Theinhardt Regular"/>
          <w:spacing w:val="2"/>
          <w:sz w:val="14"/>
        </w:rPr>
        <w:t>900</w:t>
      </w:r>
    </w:p>
    <w:p>
      <w:pPr>
        <w:tabs>
          <w:tab w:pos="2303" w:val="left" w:leader="none"/>
          <w:tab w:pos="2843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131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6’046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7" w:val="left" w:leader="none"/>
          <w:tab w:pos="2822" w:val="left" w:leader="none"/>
        </w:tabs>
        <w:spacing w:line="172" w:lineRule="exact" w:before="32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283" w:val="left" w:leader="none"/>
          <w:tab w:pos="2843" w:val="left" w:leader="none"/>
        </w:tabs>
        <w:spacing w:line="160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131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6’046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78" w:val="left" w:leader="none"/>
          <w:tab w:pos="2853" w:val="lef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4’600</w:t>
      </w:r>
    </w:p>
    <w:p>
      <w:pPr>
        <w:tabs>
          <w:tab w:pos="2362" w:val="left" w:leader="none"/>
          <w:tab w:pos="2855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31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1’446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5" w:right="3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St.Gallisch-Appenzellische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Kraft-</w:t>
      </w:r>
      <w:r>
        <w:rPr>
          <w:rFonts w:ascii="Theinhardt Bold" w:hAnsi="Theinhardt Bold"/>
          <w:b/>
          <w:spacing w:val="60"/>
          <w:sz w:val="14"/>
        </w:rPr>
        <w:t> </w:t>
      </w:r>
      <w:r>
        <w:rPr>
          <w:rFonts w:ascii="Theinhardt Bold" w:hAnsi="Theinhardt Bold"/>
          <w:b/>
          <w:sz w:val="14"/>
        </w:rPr>
        <w:t>werke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2"/>
          <w:sz w:val="14"/>
        </w:rPr>
        <w:t>15.06.2016</w:t>
      </w:r>
    </w:p>
    <w:p>
      <w:pPr>
        <w:spacing w:line="177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Lengg,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229</w:t>
      </w:r>
      <w:r>
        <w:rPr>
          <w:rFonts w:ascii="Theinhardt Regular"/>
          <w:sz w:val="14"/>
        </w:rPr>
        <w:t> 53 </w:t>
      </w:r>
      <w:r>
        <w:rPr>
          <w:rFonts w:ascii="Theinhardt Regular"/>
          <w:spacing w:val="-7"/>
          <w:sz w:val="14"/>
        </w:rPr>
        <w:t>11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Bauherrschaft,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Planung,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Bauleitung: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Walter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Züst,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Schulstrasse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15,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9038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Rehetobel</w:t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Dämmung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Gebäudehülle: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Gmür</w:t>
      </w:r>
      <w:r>
        <w:rPr>
          <w:rFonts w:ascii="Theinhardt Regular" w:hAnsi="Theinhardt Regular"/>
          <w:sz w:val="14"/>
        </w:rPr>
        <w:t> Dach+Wand </w:t>
      </w:r>
      <w:r>
        <w:rPr>
          <w:rFonts w:ascii="Theinhardt Regular" w:hAnsi="Theinhardt Regular"/>
          <w:spacing w:val="1"/>
          <w:sz w:val="14"/>
        </w:rPr>
        <w:t>GmbH,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Urs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Gmür,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9038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Rehetobel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Kollektor-Anlage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Pelletheizung: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Fyrosol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Hanspeter</w:t>
      </w:r>
      <w:r>
        <w:rPr>
          <w:rFonts w:ascii="Theinhardt Regular"/>
          <w:sz w:val="14"/>
        </w:rPr>
        <w:t> Schopfer, </w:t>
      </w:r>
      <w:r>
        <w:rPr>
          <w:rFonts w:ascii="Theinhardt Regular"/>
          <w:spacing w:val="-1"/>
          <w:sz w:val="14"/>
        </w:rPr>
        <w:t>9428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Walzenhausen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Schaer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Energie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Georges</w:t>
      </w:r>
      <w:r>
        <w:rPr>
          <w:rFonts w:ascii="Theinhardt Regular"/>
          <w:sz w:val="14"/>
        </w:rPr>
        <w:t> Schaer, </w:t>
      </w:r>
      <w:r>
        <w:rPr>
          <w:rFonts w:ascii="Theinhardt Regular"/>
          <w:spacing w:val="2"/>
          <w:sz w:val="14"/>
        </w:rPr>
        <w:t>9043</w:t>
      </w:r>
      <w:r>
        <w:rPr>
          <w:rFonts w:ascii="Theinhardt Regular"/>
          <w:sz w:val="14"/>
        </w:rPr>
        <w:t> Trogen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20"/>
          <w:cols w:num="3" w:equalWidth="0">
            <w:col w:w="3463" w:space="109"/>
            <w:col w:w="3452" w:space="120"/>
            <w:col w:w="358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line="200" w:lineRule="atLeast"/>
        <w:ind w:left="727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509" cy="132588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0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460" w:right="720"/>
        </w:sectPr>
      </w:pPr>
    </w:p>
    <w:p>
      <w:pPr>
        <w:spacing w:before="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862076pt;width:345.827pt;height:226.488195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89"/>
        <w:ind w:left="333" w:right="10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Südfassade des sanierten </w:t>
      </w:r>
      <w:r>
        <w:rPr>
          <w:rFonts w:ascii="Theinhardt Bold" w:hAnsi="Theinhardt Bold"/>
          <w:b/>
          <w:spacing w:val="-1"/>
          <w:sz w:val="14"/>
        </w:rPr>
        <w:t>PEB-EFH.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Die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PV-Anlage </w:t>
      </w:r>
      <w:r>
        <w:rPr>
          <w:rFonts w:ascii="Theinhardt Bold" w:hAnsi="Theinhardt Bold"/>
          <w:b/>
          <w:spacing w:val="-1"/>
          <w:sz w:val="14"/>
        </w:rPr>
        <w:t>steht</w:t>
      </w:r>
      <w:r>
        <w:rPr>
          <w:rFonts w:ascii="Theinhardt Bold" w:hAnsi="Theinhardt Bold"/>
          <w:b/>
          <w:sz w:val="14"/>
        </w:rPr>
        <w:t> wegen Platzmangels an einer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Stützmauer und auf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Wiesenbord statt wie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33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Solarkollektoren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Dach.</w:t>
      </w:r>
      <w:r>
        <w:rPr>
          <w:rFonts w:ascii="Theinhardt Bold" w:hAnsi="Theinhardt Bold" w:cs="Theinhardt Bold" w:eastAsia="Theinhardt Bold"/>
          <w:b/>
          <w:bCs/>
          <w:spacing w:val="-1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Total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</w:t>
      </w:r>
      <w:r>
        <w:rPr>
          <w:rFonts w:ascii="Theinhardt Bold" w:hAnsi="Theinhardt Bold" w:cs="Theinhardt Bold" w:eastAsia="Theinhardt Bold"/>
          <w:b/>
          <w:bCs/>
          <w:spacing w:val="5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6’000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kWh/a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erzeugt.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9"/>
        <w:ind w:left="285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89"/>
        <w:ind w:left="333" w:right="4142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1’400</w:t>
      </w:r>
      <w:r>
        <w:rPr>
          <w:rFonts w:ascii="Theinhardt Bold" w:hAnsi="Theinhardt Bold" w:cs="Theinhardt Bold" w:eastAsia="Theinhardt Bold"/>
          <w:b/>
          <w:bCs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könnten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mehr als vier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TWIKE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ihren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Jahresbedarf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decken.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20"/>
          <w:cols w:num="2" w:equalWidth="0">
            <w:col w:w="3428" w:space="144"/>
            <w:col w:w="7158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2016-09-21T16:39:01Z</dcterms:created>
  <dcterms:modified xsi:type="dcterms:W3CDTF">2016-09-21T16:39:01Z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