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546" w:val="left" w:leader="none"/>
        </w:tabs>
        <w:spacing w:line="230" w:lineRule="exact" w:before="32"/>
        <w:ind w:left="106" w:right="0" w:firstLine="0"/>
        <w:jc w:val="both"/>
        <w:rPr>
          <w:rFonts w:ascii="Theinhardt Regular" w:hAnsi="Theinhardt Regular" w:cs="Theinhardt Regular" w:eastAsia="Theinhardt Regular"/>
          <w:sz w:val="18"/>
          <w:szCs w:val="18"/>
        </w:rPr>
      </w:pPr>
      <w:r>
        <w:rPr/>
        <w:pict>
          <v:group style="position:absolute;margin-left:28.559pt;margin-top:13.847289pt;width:.1pt;height:.1pt;mso-position-horizontal-relative:page;mso-position-vertical-relative:paragraph;z-index:-4528" coordorigin="571,277" coordsize="2,2">
            <v:shape style="position:absolute;left:571;top:277;width:2;height:2" coordorigin="571,277" coordsize="0,0" path="m571,277l571,277e" filled="false" stroked="true" strokeweight=".425pt" strokecolor="#000000">
              <v:path arrowok="t"/>
            </v:shape>
            <w10:wrap type="none"/>
          </v:group>
        </w:pict>
      </w:r>
      <w:r>
        <w:rPr/>
        <w:pict>
          <v:group style="position:absolute;margin-left:150.731995pt;margin-top:13.847289pt;width:.1pt;height:.1pt;mso-position-horizontal-relative:page;mso-position-vertical-relative:paragraph;z-index:1144" coordorigin="3015,277" coordsize="2,2">
            <v:shape style="position:absolute;left:3015;top:277;width:2;height:2" coordorigin="3015,277" coordsize="0,0" path="m3015,277l3015,277e" filled="false" stroked="true" strokeweight=".425pt" strokecolor="#000000">
              <v:path arrowok="t"/>
            </v:shape>
            <w10:wrap type="none"/>
          </v:group>
        </w:pict>
      </w:r>
      <w:r>
        <w:rPr/>
        <w:pict>
          <v:group style="position:absolute;margin-left:28.559pt;margin-top:25.34729pt;width:.1pt;height:.1pt;mso-position-horizontal-relative:page;mso-position-vertical-relative:paragraph;z-index:-4480" coordorigin="571,507" coordsize="2,2">
            <v:shape style="position:absolute;left:571;top:507;width:2;height:2" coordorigin="571,507" coordsize="0,0" path="m571,507l571,507e" filled="false" stroked="true" strokeweight=".425pt" strokecolor="#000000">
              <v:path arrowok="t"/>
            </v:shape>
            <w10:wrap type="none"/>
          </v:group>
        </w:pict>
      </w:r>
      <w:r>
        <w:rPr/>
        <w:pict>
          <v:group style="position:absolute;margin-left:150.731995pt;margin-top:25.34729pt;width:.1pt;height:.1pt;mso-position-horizontal-relative:page;mso-position-vertical-relative:paragraph;z-index:1192" coordorigin="3015,507" coordsize="2,2">
            <v:shape style="position:absolute;left:3015;top:507;width:2;height:2" coordorigin="3015,507" coordsize="0,0" path="m3015,507l3015,507e" filled="false" stroked="true" strokeweight=".425pt" strokecolor="#000000">
              <v:path arrowok="t"/>
            </v:shape>
            <w10:wrap type="none"/>
          </v:group>
        </w:pict>
      </w:r>
      <w:r>
        <w:rPr>
          <w:rFonts w:ascii="Theinhardt Black"/>
          <w:b/>
          <w:sz w:val="18"/>
        </w:rPr>
      </w:r>
      <w:r>
        <w:rPr>
          <w:rFonts w:ascii="Theinhardt Black"/>
          <w:b/>
          <w:spacing w:val="1"/>
          <w:sz w:val="18"/>
          <w:u w:val="dotted" w:color="000000"/>
        </w:rPr>
        <w:t>Kategorie</w:t>
      </w:r>
      <w:r>
        <w:rPr>
          <w:rFonts w:ascii="Theinhardt Black"/>
          <w:b/>
          <w:sz w:val="18"/>
          <w:u w:val="dotted" w:color="000000"/>
        </w:rPr>
        <w:t> </w:t>
      </w:r>
      <w:r>
        <w:rPr>
          <w:rFonts w:ascii="Theinhardt Black"/>
          <w:b/>
          <w:spacing w:val="35"/>
          <w:sz w:val="18"/>
          <w:u w:val="dotted" w:color="000000"/>
        </w:rPr>
        <w:t> </w:t>
      </w:r>
      <w:r>
        <w:rPr>
          <w:rFonts w:ascii="Theinhardt Black"/>
          <w:b/>
          <w:sz w:val="18"/>
          <w:u w:val="dotted" w:color="000000"/>
        </w:rPr>
        <w:t>C</w:t>
      </w:r>
      <w:r>
        <w:rPr>
          <w:rFonts w:ascii="Theinhardt Black"/>
          <w:b/>
          <w:sz w:val="18"/>
          <w:u w:val="dotted" w:color="000000"/>
        </w:rPr>
        <w:t> </w:t>
        <w:tab/>
      </w:r>
      <w:r>
        <w:rPr>
          <w:rFonts w:ascii="Theinhardt Black"/>
          <w:b/>
          <w:sz w:val="18"/>
        </w:rPr>
      </w:r>
      <w:r>
        <w:rPr>
          <w:rFonts w:ascii="Theinhardt Black"/>
          <w:b/>
          <w:spacing w:val="25"/>
          <w:sz w:val="18"/>
        </w:rPr>
        <w:t> </w:t>
      </w:r>
      <w:r>
        <w:rPr>
          <w:rFonts w:ascii="Theinhardt Black"/>
          <w:b/>
          <w:sz w:val="18"/>
          <w:u w:val="dotted" w:color="000000"/>
        </w:rPr>
        <w:t>Energieanlagen</w:t>
      </w:r>
      <w:r>
        <w:rPr>
          <w:rFonts w:ascii="Theinhardt Black"/>
          <w:b/>
          <w:sz w:val="18"/>
          <w:u w:val="dotted" w:color="000000"/>
        </w:rPr>
        <w:t> </w:t>
        <w:tab/>
      </w:r>
      <w:r>
        <w:rPr>
          <w:rFonts w:ascii="Theinhardt Black"/>
          <w:b/>
          <w:sz w:val="18"/>
        </w:rPr>
      </w:r>
      <w:r>
        <w:rPr>
          <w:rFonts w:ascii="Theinhardt Black"/>
          <w:b/>
          <w:spacing w:val="26"/>
          <w:sz w:val="18"/>
        </w:rPr>
        <w:t> </w:t>
      </w:r>
      <w:r>
        <w:rPr>
          <w:rFonts w:ascii="Theinhardt Regular"/>
          <w:spacing w:val="-1"/>
          <w:sz w:val="18"/>
        </w:rPr>
        <w:t>Schweizer</w:t>
      </w:r>
      <w:r>
        <w:rPr>
          <w:rFonts w:ascii="Theinhardt Regular"/>
          <w:sz w:val="18"/>
        </w:rPr>
        <w:t> </w:t>
      </w:r>
      <w:r>
        <w:rPr>
          <w:rFonts w:ascii="Theinhardt Regular"/>
          <w:spacing w:val="-1"/>
          <w:sz w:val="18"/>
        </w:rPr>
        <w:t>Solarpreis</w:t>
      </w:r>
      <w:r>
        <w:rPr>
          <w:rFonts w:ascii="Theinhardt Regular"/>
          <w:sz w:val="18"/>
        </w:rPr>
        <w:t> 2015</w:t>
      </w:r>
    </w:p>
    <w:p>
      <w:pPr>
        <w:pStyle w:val="Heading1"/>
        <w:spacing w:line="230" w:lineRule="exact" w:before="32"/>
        <w:ind w:right="107"/>
        <w:jc w:val="both"/>
        <w:rPr>
          <w:b w:val="0"/>
          <w:bCs w:val="0"/>
        </w:rPr>
      </w:pPr>
      <w:r>
        <w:rPr>
          <w:b w:val="0"/>
          <w:bCs w:val="0"/>
        </w:rPr>
        <w:br w:type="column"/>
      </w:r>
      <w:r>
        <w:rPr/>
        <w:t>Der</w:t>
      </w:r>
      <w:r>
        <w:rPr>
          <w:spacing w:val="7"/>
        </w:rPr>
        <w:t> </w:t>
      </w:r>
      <w:r>
        <w:rPr/>
        <w:t>innovative</w:t>
      </w:r>
      <w:r>
        <w:rPr>
          <w:spacing w:val="7"/>
        </w:rPr>
        <w:t> </w:t>
      </w:r>
      <w:r>
        <w:rPr/>
        <w:t>Bauunternehmer</w:t>
      </w:r>
      <w:r>
        <w:rPr>
          <w:spacing w:val="7"/>
        </w:rPr>
        <w:t> </w:t>
      </w:r>
      <w:r>
        <w:rPr/>
        <w:t>Markus</w:t>
      </w:r>
      <w:r>
        <w:rPr>
          <w:spacing w:val="7"/>
        </w:rPr>
        <w:t> </w:t>
      </w:r>
      <w:r>
        <w:rPr/>
        <w:t>Affentranger</w:t>
      </w:r>
      <w:r>
        <w:rPr>
          <w:spacing w:val="7"/>
        </w:rPr>
        <w:t> </w:t>
      </w:r>
      <w:r>
        <w:rPr/>
        <w:t>initiierte</w:t>
      </w:r>
      <w:r>
        <w:rPr>
          <w:spacing w:val="7"/>
        </w:rPr>
        <w:t> </w:t>
      </w:r>
      <w:r>
        <w:rPr/>
        <w:t>den</w:t>
      </w:r>
      <w:r>
        <w:rPr>
          <w:spacing w:val="7"/>
        </w:rPr>
        <w:t> </w:t>
      </w:r>
      <w:r>
        <w:rPr/>
        <w:t>weltweit</w:t>
      </w:r>
      <w:r>
        <w:rPr>
          <w:spacing w:val="7"/>
        </w:rPr>
        <w:t> </w:t>
      </w:r>
      <w:r>
        <w:rPr/>
        <w:t>ersten</w:t>
      </w:r>
      <w:r>
        <w:rPr>
          <w:spacing w:val="7"/>
        </w:rPr>
        <w:t> </w:t>
      </w:r>
      <w:r>
        <w:rPr/>
        <w:t>16-Tonnen-</w:t>
      </w:r>
      <w:r>
        <w:rPr/>
        <w:t> Solarbagger</w:t>
      </w:r>
      <w:r>
        <w:rPr>
          <w:spacing w:val="4"/>
        </w:rPr>
        <w:t> </w:t>
      </w:r>
      <w:r>
        <w:rPr/>
        <w:t>mit</w:t>
      </w:r>
      <w:r>
        <w:rPr>
          <w:spacing w:val="4"/>
        </w:rPr>
        <w:t> </w:t>
      </w:r>
      <w:r>
        <w:rPr/>
        <w:t>Elektroantrieb.</w:t>
      </w:r>
      <w:r>
        <w:rPr>
          <w:spacing w:val="4"/>
        </w:rPr>
        <w:t> </w:t>
      </w:r>
      <w:r>
        <w:rPr/>
        <w:t>Dazu</w:t>
      </w:r>
      <w:r>
        <w:rPr>
          <w:spacing w:val="4"/>
        </w:rPr>
        <w:t> </w:t>
      </w:r>
      <w:r>
        <w:rPr/>
        <w:t>arbeitete</w:t>
      </w:r>
      <w:r>
        <w:rPr>
          <w:spacing w:val="4"/>
        </w:rPr>
        <w:t> </w:t>
      </w:r>
      <w:r>
        <w:rPr/>
        <w:t>er</w:t>
      </w:r>
      <w:r>
        <w:rPr>
          <w:spacing w:val="4"/>
        </w:rPr>
        <w:t> </w:t>
      </w:r>
      <w:r>
        <w:rPr/>
        <w:t>zusammen</w:t>
      </w:r>
      <w:r>
        <w:rPr>
          <w:spacing w:val="4"/>
        </w:rPr>
        <w:t> </w:t>
      </w:r>
      <w:r>
        <w:rPr/>
        <w:t>mit</w:t>
      </w:r>
      <w:r>
        <w:rPr>
          <w:spacing w:val="4"/>
        </w:rPr>
        <w:t> </w:t>
      </w:r>
      <w:r>
        <w:rPr/>
        <w:t>der</w:t>
      </w:r>
      <w:r>
        <w:rPr>
          <w:spacing w:val="4"/>
        </w:rPr>
        <w:t> </w:t>
      </w:r>
      <w:r>
        <w:rPr/>
        <w:t>ETH,</w:t>
      </w:r>
      <w:r>
        <w:rPr>
          <w:spacing w:val="-4"/>
        </w:rPr>
        <w:t> </w:t>
      </w:r>
      <w:r>
        <w:rPr>
          <w:spacing w:val="-1"/>
        </w:rPr>
        <w:t>der</w:t>
      </w:r>
      <w:r>
        <w:rPr>
          <w:spacing w:val="4"/>
        </w:rPr>
        <w:t> </w:t>
      </w:r>
      <w:r>
        <w:rPr>
          <w:spacing w:val="-1"/>
        </w:rPr>
        <w:t>Hochschule</w:t>
      </w:r>
      <w:r>
        <w:rPr>
          <w:spacing w:val="4"/>
        </w:rPr>
        <w:t> </w:t>
      </w:r>
      <w:r>
        <w:rPr/>
        <w:t>NTB</w:t>
      </w:r>
      <w:r>
        <w:rPr>
          <w:spacing w:val="22"/>
        </w:rPr>
        <w:t> </w:t>
      </w:r>
      <w:r>
        <w:rPr/>
        <w:t>in</w:t>
      </w:r>
      <w:r>
        <w:rPr>
          <w:spacing w:val="8"/>
        </w:rPr>
        <w:t> </w:t>
      </w:r>
      <w:r>
        <w:rPr/>
        <w:t>Buchs</w:t>
      </w:r>
      <w:r>
        <w:rPr>
          <w:spacing w:val="8"/>
        </w:rPr>
        <w:t> </w:t>
      </w:r>
      <w:r>
        <w:rPr/>
        <w:t>und</w:t>
      </w:r>
      <w:r>
        <w:rPr>
          <w:spacing w:val="8"/>
        </w:rPr>
        <w:t> </w:t>
      </w:r>
      <w:r>
        <w:rPr/>
        <w:t>dem</w:t>
      </w:r>
      <w:r>
        <w:rPr>
          <w:spacing w:val="8"/>
        </w:rPr>
        <w:t> </w:t>
      </w:r>
      <w:r>
        <w:rPr/>
        <w:t>Baumaschinenhersteller</w:t>
      </w:r>
      <w:r>
        <w:rPr>
          <w:spacing w:val="8"/>
        </w:rPr>
        <w:t> </w:t>
      </w:r>
      <w:r>
        <w:rPr/>
        <w:t>Huppenkothen.</w:t>
      </w:r>
      <w:r>
        <w:rPr>
          <w:spacing w:val="8"/>
        </w:rPr>
        <w:t> </w:t>
      </w:r>
      <w:r>
        <w:rPr/>
        <w:t>Der</w:t>
      </w:r>
      <w:r>
        <w:rPr>
          <w:spacing w:val="8"/>
        </w:rPr>
        <w:t> </w:t>
      </w:r>
      <w:r>
        <w:rPr>
          <w:spacing w:val="-1"/>
        </w:rPr>
        <w:t>SUNCAR-Elektrobagger</w:t>
      </w:r>
      <w:r>
        <w:rPr>
          <w:spacing w:val="8"/>
        </w:rPr>
        <w:t> </w:t>
      </w:r>
      <w:r>
        <w:rPr/>
        <w:t>ist</w:t>
      </w:r>
      <w:r>
        <w:rPr>
          <w:spacing w:val="8"/>
        </w:rPr>
        <w:t> </w:t>
      </w:r>
      <w:r>
        <w:rPr/>
        <w:t>ge-</w:t>
      </w:r>
      <w:r>
        <w:rPr>
          <w:spacing w:val="38"/>
        </w:rPr>
        <w:t> </w:t>
      </w:r>
      <w:r>
        <w:rPr/>
        <w:t>räuscharm,</w:t>
      </w:r>
      <w:r>
        <w:rPr>
          <w:spacing w:val="-8"/>
        </w:rPr>
        <w:t> </w:t>
      </w:r>
      <w:r>
        <w:rPr/>
        <w:t>emittiert</w:t>
      </w:r>
      <w:r>
        <w:rPr>
          <w:spacing w:val="-8"/>
        </w:rPr>
        <w:t> </w:t>
      </w:r>
      <w:r>
        <w:rPr/>
        <w:t>keine</w:t>
      </w:r>
      <w:r>
        <w:rPr>
          <w:spacing w:val="-8"/>
        </w:rPr>
        <w:t> </w:t>
      </w:r>
      <w:r>
        <w:rPr/>
        <w:t>Schadstoffe</w:t>
      </w:r>
      <w:r>
        <w:rPr>
          <w:spacing w:val="-8"/>
        </w:rPr>
        <w:t> </w:t>
      </w:r>
      <w:r>
        <w:rPr/>
        <w:t>und</w:t>
      </w:r>
      <w:r>
        <w:rPr>
          <w:spacing w:val="-8"/>
        </w:rPr>
        <w:t> </w:t>
      </w:r>
      <w:r>
        <w:rPr/>
        <w:t>verfügt</w:t>
      </w:r>
      <w:r>
        <w:rPr>
          <w:spacing w:val="-8"/>
        </w:rPr>
        <w:t> </w:t>
      </w:r>
      <w:r>
        <w:rPr/>
        <w:t>mit</w:t>
      </w:r>
      <w:r>
        <w:rPr>
          <w:spacing w:val="-8"/>
        </w:rPr>
        <w:t> </w:t>
      </w:r>
      <w:r>
        <w:rPr/>
        <w:t>75</w:t>
      </w:r>
      <w:r>
        <w:rPr>
          <w:spacing w:val="-8"/>
        </w:rPr>
        <w:t> </w:t>
      </w:r>
      <w:r>
        <w:rPr/>
        <w:t>bis</w:t>
      </w:r>
      <w:r>
        <w:rPr>
          <w:spacing w:val="-8"/>
        </w:rPr>
        <w:t> </w:t>
      </w:r>
      <w:r>
        <w:rPr/>
        <w:t>167</w:t>
      </w:r>
      <w:r>
        <w:rPr>
          <w:spacing w:val="-8"/>
        </w:rPr>
        <w:t> </w:t>
      </w:r>
      <w:r>
        <w:rPr/>
        <w:t>kW</w:t>
      </w:r>
      <w:r>
        <w:rPr>
          <w:spacing w:val="-8"/>
        </w:rPr>
        <w:t> </w:t>
      </w:r>
      <w:r>
        <w:rPr/>
        <w:t>über</w:t>
      </w:r>
      <w:r>
        <w:rPr>
          <w:spacing w:val="-8"/>
        </w:rPr>
        <w:t> </w:t>
      </w:r>
      <w:r>
        <w:rPr/>
        <w:t>eine</w:t>
      </w:r>
      <w:r>
        <w:rPr>
          <w:spacing w:val="-8"/>
        </w:rPr>
        <w:t> </w:t>
      </w:r>
      <w:r>
        <w:rPr/>
        <w:t>erheblich</w:t>
      </w:r>
      <w:r>
        <w:rPr>
          <w:spacing w:val="-8"/>
        </w:rPr>
        <w:t> </w:t>
      </w:r>
      <w:r>
        <w:rPr/>
        <w:t>höhe-</w:t>
      </w:r>
      <w:r>
        <w:rPr>
          <w:spacing w:val="21"/>
        </w:rPr>
        <w:t> </w:t>
      </w:r>
      <w:r>
        <w:rPr/>
        <w:t>re</w:t>
      </w:r>
      <w:r>
        <w:rPr>
          <w:spacing w:val="4"/>
        </w:rPr>
        <w:t> </w:t>
      </w:r>
      <w:r>
        <w:rPr/>
        <w:t>Leistung</w:t>
      </w:r>
      <w:r>
        <w:rPr>
          <w:spacing w:val="4"/>
        </w:rPr>
        <w:t> </w:t>
      </w:r>
      <w:r>
        <w:rPr/>
        <w:t>als</w:t>
      </w:r>
      <w:r>
        <w:rPr>
          <w:spacing w:val="4"/>
        </w:rPr>
        <w:t> </w:t>
      </w:r>
      <w:r>
        <w:rPr/>
        <w:t>vergleichbare</w:t>
      </w:r>
      <w:r>
        <w:rPr>
          <w:spacing w:val="4"/>
        </w:rPr>
        <w:t> </w:t>
      </w:r>
      <w:r>
        <w:rPr/>
        <w:t>Dieselbagger</w:t>
      </w:r>
      <w:r>
        <w:rPr>
          <w:spacing w:val="4"/>
        </w:rPr>
        <w:t> </w:t>
      </w:r>
      <w:r>
        <w:rPr/>
        <w:t>mit</w:t>
      </w:r>
      <w:r>
        <w:rPr>
          <w:spacing w:val="4"/>
        </w:rPr>
        <w:t> </w:t>
      </w:r>
      <w:r>
        <w:rPr/>
        <w:t>knapp</w:t>
      </w:r>
      <w:r>
        <w:rPr>
          <w:spacing w:val="4"/>
        </w:rPr>
        <w:t> </w:t>
      </w:r>
      <w:r>
        <w:rPr/>
        <w:t>70</w:t>
      </w:r>
      <w:r>
        <w:rPr>
          <w:spacing w:val="4"/>
        </w:rPr>
        <w:t> </w:t>
      </w:r>
      <w:r>
        <w:rPr/>
        <w:t>kW.</w:t>
      </w:r>
      <w:r>
        <w:rPr>
          <w:spacing w:val="4"/>
        </w:rPr>
        <w:t> </w:t>
      </w:r>
      <w:r>
        <w:rPr/>
        <w:t>Der</w:t>
      </w:r>
      <w:r>
        <w:rPr>
          <w:spacing w:val="4"/>
        </w:rPr>
        <w:t> </w:t>
      </w:r>
      <w:r>
        <w:rPr/>
        <w:t>umgebaute</w:t>
      </w:r>
      <w:r>
        <w:rPr>
          <w:spacing w:val="4"/>
        </w:rPr>
        <w:t> </w:t>
      </w:r>
      <w:r>
        <w:rPr/>
        <w:t>Takeuchi-Bagger</w:t>
      </w:r>
      <w:r>
        <w:rPr/>
        <w:t> benötigt</w:t>
      </w:r>
      <w:r>
        <w:rPr>
          <w:spacing w:val="5"/>
        </w:rPr>
        <w:t> </w:t>
      </w:r>
      <w:r>
        <w:rPr/>
        <w:t>statt</w:t>
      </w:r>
      <w:r>
        <w:rPr>
          <w:spacing w:val="5"/>
        </w:rPr>
        <w:t> </w:t>
      </w:r>
      <w:r>
        <w:rPr/>
        <w:t>150’000</w:t>
      </w:r>
      <w:r>
        <w:rPr>
          <w:spacing w:val="5"/>
        </w:rPr>
        <w:t> </w:t>
      </w:r>
      <w:r>
        <w:rPr/>
        <w:t>kWh/a</w:t>
      </w:r>
      <w:r>
        <w:rPr>
          <w:spacing w:val="5"/>
        </w:rPr>
        <w:t> </w:t>
      </w:r>
      <w:r>
        <w:rPr/>
        <w:t>nur</w:t>
      </w:r>
      <w:r>
        <w:rPr>
          <w:spacing w:val="5"/>
        </w:rPr>
        <w:t> </w:t>
      </w:r>
      <w:r>
        <w:rPr/>
        <w:t>30’000</w:t>
      </w:r>
      <w:r>
        <w:rPr>
          <w:spacing w:val="5"/>
        </w:rPr>
        <w:t> </w:t>
      </w:r>
      <w:r>
        <w:rPr/>
        <w:t>kWh/a</w:t>
      </w:r>
      <w:r>
        <w:rPr>
          <w:spacing w:val="5"/>
        </w:rPr>
        <w:t> </w:t>
      </w:r>
      <w:r>
        <w:rPr/>
        <w:t>–</w:t>
      </w:r>
      <w:r>
        <w:rPr>
          <w:spacing w:val="5"/>
        </w:rPr>
        <w:t> </w:t>
      </w:r>
      <w:r>
        <w:rPr/>
        <w:t>knapp</w:t>
      </w:r>
      <w:r>
        <w:rPr>
          <w:spacing w:val="5"/>
        </w:rPr>
        <w:t> </w:t>
      </w:r>
      <w:r>
        <w:rPr/>
        <w:t>1%</w:t>
      </w:r>
      <w:r>
        <w:rPr>
          <w:spacing w:val="5"/>
        </w:rPr>
        <w:t> </w:t>
      </w:r>
      <w:r>
        <w:rPr/>
        <w:t>der</w:t>
      </w:r>
      <w:r>
        <w:rPr>
          <w:spacing w:val="5"/>
        </w:rPr>
        <w:t> </w:t>
      </w:r>
      <w:r>
        <w:rPr/>
        <w:t>3.2</w:t>
      </w:r>
      <w:r>
        <w:rPr>
          <w:spacing w:val="5"/>
        </w:rPr>
        <w:t> </w:t>
      </w:r>
      <w:r>
        <w:rPr/>
        <w:t>GWh/a</w:t>
      </w:r>
      <w:r>
        <w:rPr>
          <w:spacing w:val="5"/>
        </w:rPr>
        <w:t> </w:t>
      </w:r>
      <w:r>
        <w:rPr/>
        <w:t>der</w:t>
      </w:r>
      <w:r>
        <w:rPr>
          <w:spacing w:val="5"/>
        </w:rPr>
        <w:t> </w:t>
      </w:r>
      <w:r>
        <w:rPr/>
        <w:t>hauseigenen</w:t>
      </w:r>
      <w:r>
        <w:rPr/>
        <w:t> Solarstromproduktion</w:t>
      </w:r>
      <w:r>
        <w:rPr>
          <w:spacing w:val="7"/>
        </w:rPr>
        <w:t> </w:t>
      </w:r>
      <w:r>
        <w:rPr/>
        <w:t>von</w:t>
      </w:r>
      <w:r>
        <w:rPr>
          <w:spacing w:val="7"/>
        </w:rPr>
        <w:t> </w:t>
      </w:r>
      <w:r>
        <w:rPr/>
        <w:t>Markus</w:t>
      </w:r>
      <w:r>
        <w:rPr>
          <w:spacing w:val="7"/>
        </w:rPr>
        <w:t> </w:t>
      </w:r>
      <w:r>
        <w:rPr/>
        <w:t>Affentranger</w:t>
      </w:r>
      <w:r>
        <w:rPr>
          <w:spacing w:val="7"/>
        </w:rPr>
        <w:t> </w:t>
      </w:r>
      <w:r>
        <w:rPr/>
        <w:t>und</w:t>
      </w:r>
      <w:r>
        <w:rPr>
          <w:spacing w:val="7"/>
        </w:rPr>
        <w:t> </w:t>
      </w:r>
      <w:r>
        <w:rPr/>
        <w:t>Markus</w:t>
      </w:r>
      <w:r>
        <w:rPr>
          <w:spacing w:val="7"/>
        </w:rPr>
        <w:t> </w:t>
      </w:r>
      <w:r>
        <w:rPr/>
        <w:t>Bösiger.</w:t>
      </w:r>
      <w:r>
        <w:rPr>
          <w:spacing w:val="7"/>
        </w:rPr>
        <w:t> </w:t>
      </w:r>
      <w:r>
        <w:rPr/>
        <w:t>Die</w:t>
      </w:r>
      <w:r>
        <w:rPr>
          <w:spacing w:val="7"/>
        </w:rPr>
        <w:t> </w:t>
      </w:r>
      <w:r>
        <w:rPr/>
        <w:t>Batteriekapazität</w:t>
      </w:r>
      <w:r>
        <w:rPr>
          <w:spacing w:val="7"/>
        </w:rPr>
        <w:t> </w:t>
      </w:r>
      <w:r>
        <w:rPr/>
        <w:t>be-</w:t>
      </w:r>
      <w:r>
        <w:rPr/>
        <w:t> trägt</w:t>
      </w:r>
      <w:r>
        <w:rPr>
          <w:spacing w:val="-6"/>
        </w:rPr>
        <w:t> </w:t>
      </w:r>
      <w:r>
        <w:rPr/>
        <w:t>190</w:t>
      </w:r>
      <w:r>
        <w:rPr>
          <w:spacing w:val="-6"/>
        </w:rPr>
        <w:t> </w:t>
      </w:r>
      <w:r>
        <w:rPr/>
        <w:t>kWh</w:t>
      </w:r>
      <w:r>
        <w:rPr>
          <w:spacing w:val="-6"/>
        </w:rPr>
        <w:t> </w:t>
      </w:r>
      <w:r>
        <w:rPr/>
        <w:t>und</w:t>
      </w:r>
      <w:r>
        <w:rPr>
          <w:spacing w:val="-6"/>
        </w:rPr>
        <w:t> </w:t>
      </w:r>
      <w:r>
        <w:rPr/>
        <w:t>ermöglicht</w:t>
      </w:r>
      <w:r>
        <w:rPr>
          <w:spacing w:val="-6"/>
        </w:rPr>
        <w:t> </w:t>
      </w:r>
      <w:r>
        <w:rPr/>
        <w:t>einen</w:t>
      </w:r>
      <w:r>
        <w:rPr>
          <w:spacing w:val="-6"/>
        </w:rPr>
        <w:t> </w:t>
      </w:r>
      <w:r>
        <w:rPr/>
        <w:t>9-Stunden-Tageseinsatz.</w:t>
      </w:r>
      <w:r>
        <w:rPr>
          <w:spacing w:val="-6"/>
        </w:rPr>
        <w:t> </w:t>
      </w:r>
      <w:r>
        <w:rPr/>
        <w:t>Im</w:t>
      </w:r>
      <w:r>
        <w:rPr>
          <w:spacing w:val="-6"/>
        </w:rPr>
        <w:t> </w:t>
      </w:r>
      <w:r>
        <w:rPr/>
        <w:t>Vergleich</w:t>
      </w:r>
      <w:r>
        <w:rPr>
          <w:spacing w:val="-6"/>
        </w:rPr>
        <w:t> </w:t>
      </w:r>
      <w:r>
        <w:rPr/>
        <w:t>zu</w:t>
      </w:r>
      <w:r>
        <w:rPr>
          <w:spacing w:val="-6"/>
        </w:rPr>
        <w:t> </w:t>
      </w:r>
      <w:r>
        <w:rPr/>
        <w:t>einem</w:t>
      </w:r>
      <w:r>
        <w:rPr>
          <w:spacing w:val="-6"/>
        </w:rPr>
        <w:t> </w:t>
      </w:r>
      <w:r>
        <w:rPr/>
        <w:t>Dieselbag-</w:t>
      </w:r>
      <w:r>
        <w:rPr>
          <w:b w:val="0"/>
          <w:bCs w:val="0"/>
        </w:rPr>
      </w:r>
    </w:p>
    <w:p>
      <w:pPr>
        <w:spacing w:line="230" w:lineRule="exact" w:before="0"/>
        <w:ind w:left="106" w:right="108" w:firstLine="0"/>
        <w:jc w:val="both"/>
        <w:rPr>
          <w:rFonts w:ascii="Theinhardt Bold" w:hAnsi="Theinhardt Bold" w:cs="Theinhardt Bold" w:eastAsia="Theinhardt Bold"/>
          <w:sz w:val="18"/>
          <w:szCs w:val="18"/>
        </w:rPr>
      </w:pPr>
      <w:r>
        <w:rPr>
          <w:rFonts w:ascii="Theinhardt Bold" w:hAnsi="Theinhardt Bold" w:cs="Theinhardt Bold" w:eastAsia="Theinhardt Bold"/>
          <w:b/>
          <w:bCs/>
          <w:sz w:val="18"/>
          <w:szCs w:val="18"/>
        </w:rPr>
        <w:t>ger</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emittiert</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der</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Solarbagger</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jährlich</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40</w:t>
      </w:r>
      <w:r>
        <w:rPr>
          <w:rFonts w:ascii="Theinhardt Bold" w:hAnsi="Theinhardt Bold" w:cs="Theinhardt Bold" w:eastAsia="Theinhardt Bold"/>
          <w:b/>
          <w:bCs/>
          <w:spacing w:val="15"/>
          <w:sz w:val="18"/>
          <w:szCs w:val="18"/>
        </w:rPr>
        <w:t> </w:t>
      </w:r>
      <w:r>
        <w:rPr>
          <w:rFonts w:ascii="Theinhardt Bold" w:hAnsi="Theinhardt Bold" w:cs="Theinhardt Bold" w:eastAsia="Theinhardt Bold"/>
          <w:b/>
          <w:bCs/>
          <w:sz w:val="18"/>
          <w:szCs w:val="18"/>
        </w:rPr>
        <w:t>t</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CO</w:t>
      </w:r>
      <w:r>
        <w:rPr>
          <w:rFonts w:ascii="Theinhardt Bold" w:hAnsi="Theinhardt Bold" w:cs="Theinhardt Bold" w:eastAsia="Theinhardt Bold"/>
          <w:b/>
          <w:bCs/>
          <w:position w:val="-5"/>
          <w:sz w:val="10"/>
          <w:szCs w:val="10"/>
        </w:rPr>
        <w:t>2</w:t>
      </w:r>
      <w:r>
        <w:rPr>
          <w:rFonts w:ascii="Theinhardt Bold" w:hAnsi="Theinhardt Bold" w:cs="Theinhardt Bold" w:eastAsia="Theinhardt Bold"/>
          <w:b/>
          <w:bCs/>
          <w:spacing w:val="9"/>
          <w:position w:val="-5"/>
          <w:sz w:val="10"/>
          <w:szCs w:val="10"/>
        </w:rPr>
        <w:t> </w:t>
      </w:r>
      <w:r>
        <w:rPr>
          <w:rFonts w:ascii="Theinhardt Bold" w:hAnsi="Theinhardt Bold" w:cs="Theinhardt Bold" w:eastAsia="Theinhardt Bold"/>
          <w:b/>
          <w:bCs/>
          <w:sz w:val="18"/>
          <w:szCs w:val="18"/>
        </w:rPr>
        <w:t>weniger</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und</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spart</w:t>
      </w:r>
      <w:r>
        <w:rPr>
          <w:rFonts w:ascii="Theinhardt Bold" w:hAnsi="Theinhardt Bold" w:cs="Theinhardt Bold" w:eastAsia="Theinhardt Bold"/>
          <w:b/>
          <w:bCs/>
          <w:spacing w:val="15"/>
          <w:sz w:val="18"/>
          <w:szCs w:val="18"/>
        </w:rPr>
        <w:t> </w:t>
      </w:r>
      <w:r>
        <w:rPr>
          <w:rFonts w:ascii="Theinhardt Bold" w:hAnsi="Theinhardt Bold" w:cs="Theinhardt Bold" w:eastAsia="Theinhardt Bold"/>
          <w:b/>
          <w:bCs/>
          <w:sz w:val="18"/>
          <w:szCs w:val="18"/>
        </w:rPr>
        <w:t>21’000</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Fr.</w:t>
      </w:r>
      <w:r>
        <w:rPr>
          <w:rFonts w:ascii="Theinhardt Bold" w:hAnsi="Theinhardt Bold" w:cs="Theinhardt Bold" w:eastAsia="Theinhardt Bold"/>
          <w:b/>
          <w:bCs/>
          <w:spacing w:val="14"/>
          <w:sz w:val="18"/>
          <w:szCs w:val="18"/>
        </w:rPr>
        <w:t> </w:t>
      </w:r>
      <w:r>
        <w:rPr>
          <w:rFonts w:ascii="Theinhardt Bold" w:hAnsi="Theinhardt Bold" w:cs="Theinhardt Bold" w:eastAsia="Theinhardt Bold"/>
          <w:b/>
          <w:bCs/>
          <w:sz w:val="18"/>
          <w:szCs w:val="18"/>
        </w:rPr>
        <w:t>Treibstoffkosten</w:t>
      </w:r>
      <w:r>
        <w:rPr>
          <w:rFonts w:ascii="Theinhardt Bold" w:hAnsi="Theinhardt Bold" w:cs="Theinhardt Bold" w:eastAsia="Theinhardt Bold"/>
          <w:b/>
          <w:bCs/>
          <w:sz w:val="18"/>
          <w:szCs w:val="18"/>
        </w:rPr>
        <w:t> pro Jahr.</w:t>
      </w:r>
      <w:r>
        <w:rPr>
          <w:rFonts w:ascii="Theinhardt Bold" w:hAnsi="Theinhardt Bold" w:cs="Theinhardt Bold" w:eastAsia="Theinhardt Bold"/>
          <w:sz w:val="18"/>
          <w:szCs w:val="18"/>
        </w:rPr>
      </w:r>
    </w:p>
    <w:p>
      <w:pPr>
        <w:spacing w:after="0" w:line="230" w:lineRule="exact"/>
        <w:jc w:val="both"/>
        <w:rPr>
          <w:rFonts w:ascii="Theinhardt Bold" w:hAnsi="Theinhardt Bold" w:cs="Theinhardt Bold" w:eastAsia="Theinhardt Bold"/>
          <w:sz w:val="18"/>
          <w:szCs w:val="18"/>
        </w:rPr>
        <w:sectPr>
          <w:type w:val="continuous"/>
          <w:pgSz w:w="11910" w:h="16840"/>
          <w:pgMar w:top="860" w:bottom="280" w:left="460" w:right="740"/>
          <w:cols w:num="2" w:equalWidth="0">
            <w:col w:w="2547" w:space="132"/>
            <w:col w:w="8031"/>
          </w:cols>
        </w:sectPr>
      </w:pP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11"/>
        <w:rPr>
          <w:rFonts w:ascii="Theinhardt Bold" w:hAnsi="Theinhardt Bold" w:cs="Theinhardt Bold" w:eastAsia="Theinhardt Bold"/>
          <w:b/>
          <w:bCs/>
          <w:sz w:val="26"/>
          <w:szCs w:val="26"/>
        </w:rPr>
      </w:pPr>
    </w:p>
    <w:p>
      <w:pPr>
        <w:spacing w:before="5"/>
        <w:ind w:left="106" w:right="0" w:firstLine="0"/>
        <w:jc w:val="left"/>
        <w:rPr>
          <w:rFonts w:ascii="Theinhardt Black" w:hAnsi="Theinhardt Black" w:cs="Theinhardt Black" w:eastAsia="Theinhardt Black"/>
          <w:sz w:val="40"/>
          <w:szCs w:val="40"/>
        </w:rPr>
      </w:pPr>
      <w:r>
        <w:rPr>
          <w:rFonts w:ascii="Theinhardt Black" w:hAnsi="Theinhardt Black"/>
          <w:b/>
          <w:color w:val="0067B1"/>
          <w:sz w:val="40"/>
        </w:rPr>
        <w:t>Solarbagger Affentranger, 6147 Altbüron/LU</w:t>
      </w:r>
      <w:r>
        <w:rPr>
          <w:rFonts w:ascii="Theinhardt Black" w:hAnsi="Theinhardt Black"/>
          <w:sz w:val="40"/>
        </w:rPr>
      </w:r>
    </w:p>
    <w:p>
      <w:pPr>
        <w:spacing w:line="240" w:lineRule="auto" w:before="11"/>
        <w:rPr>
          <w:rFonts w:ascii="Theinhardt Black" w:hAnsi="Theinhardt Black" w:cs="Theinhardt Black" w:eastAsia="Theinhardt Black"/>
          <w:b/>
          <w:bCs/>
          <w:sz w:val="23"/>
          <w:szCs w:val="23"/>
        </w:rPr>
      </w:pPr>
    </w:p>
    <w:p>
      <w:pPr>
        <w:spacing w:after="0" w:line="240" w:lineRule="auto"/>
        <w:rPr>
          <w:rFonts w:ascii="Theinhardt Black" w:hAnsi="Theinhardt Black" w:cs="Theinhardt Black" w:eastAsia="Theinhardt Black"/>
          <w:sz w:val="23"/>
          <w:szCs w:val="23"/>
        </w:rPr>
        <w:sectPr>
          <w:type w:val="continuous"/>
          <w:pgSz w:w="11910" w:h="16840"/>
          <w:pgMar w:top="860" w:bottom="280" w:left="460" w:right="740"/>
        </w:sectPr>
      </w:pPr>
    </w:p>
    <w:p>
      <w:pPr>
        <w:pStyle w:val="BodyText"/>
        <w:spacing w:line="230" w:lineRule="exact" w:before="52"/>
        <w:ind w:right="0"/>
        <w:jc w:val="both"/>
      </w:pPr>
      <w:r>
        <w:rPr/>
        <w:t>Der</w:t>
      </w:r>
      <w:r>
        <w:rPr>
          <w:spacing w:val="9"/>
        </w:rPr>
        <w:t> </w:t>
      </w:r>
      <w:r>
        <w:rPr/>
        <w:t>innovative</w:t>
      </w:r>
      <w:r>
        <w:rPr>
          <w:spacing w:val="9"/>
        </w:rPr>
        <w:t> </w:t>
      </w:r>
      <w:r>
        <w:rPr/>
        <w:t>Bauunternehmer</w:t>
      </w:r>
      <w:r>
        <w:rPr>
          <w:spacing w:val="9"/>
        </w:rPr>
        <w:t> </w:t>
      </w:r>
      <w:r>
        <w:rPr/>
        <w:t>Markus</w:t>
      </w:r>
      <w:r>
        <w:rPr>
          <w:spacing w:val="9"/>
        </w:rPr>
        <w:t> </w:t>
      </w:r>
      <w:r>
        <w:rPr/>
        <w:t>Af-</w:t>
      </w:r>
      <w:r>
        <w:rPr/>
        <w:t> fentranger</w:t>
      </w:r>
      <w:r>
        <w:rPr>
          <w:spacing w:val="-12"/>
        </w:rPr>
        <w:t> </w:t>
      </w:r>
      <w:r>
        <w:rPr/>
        <w:t>bricht</w:t>
      </w:r>
      <w:r>
        <w:rPr>
          <w:spacing w:val="-12"/>
        </w:rPr>
        <w:t> </w:t>
      </w:r>
      <w:r>
        <w:rPr/>
        <w:t>in</w:t>
      </w:r>
      <w:r>
        <w:rPr>
          <w:spacing w:val="-12"/>
        </w:rPr>
        <w:t> </w:t>
      </w:r>
      <w:r>
        <w:rPr/>
        <w:t>der</w:t>
      </w:r>
      <w:r>
        <w:rPr>
          <w:spacing w:val="-12"/>
        </w:rPr>
        <w:t> </w:t>
      </w:r>
      <w:r>
        <w:rPr/>
        <w:t>stark</w:t>
      </w:r>
      <w:r>
        <w:rPr>
          <w:spacing w:val="-12"/>
        </w:rPr>
        <w:t> </w:t>
      </w:r>
      <w:r>
        <w:rPr/>
        <w:t>fossilsüchtigen</w:t>
      </w:r>
      <w:r>
        <w:rPr/>
        <w:t> Baubranche</w:t>
      </w:r>
      <w:r>
        <w:rPr>
          <w:spacing w:val="27"/>
        </w:rPr>
        <w:t> </w:t>
      </w:r>
      <w:r>
        <w:rPr/>
        <w:t>eine</w:t>
      </w:r>
      <w:r>
        <w:rPr>
          <w:spacing w:val="28"/>
        </w:rPr>
        <w:t> </w:t>
      </w:r>
      <w:r>
        <w:rPr/>
        <w:t>Lanze</w:t>
      </w:r>
      <w:r>
        <w:rPr>
          <w:spacing w:val="27"/>
        </w:rPr>
        <w:t> </w:t>
      </w:r>
      <w:r>
        <w:rPr/>
        <w:t>für</w:t>
      </w:r>
      <w:r>
        <w:rPr>
          <w:spacing w:val="28"/>
        </w:rPr>
        <w:t> </w:t>
      </w:r>
      <w:r>
        <w:rPr/>
        <w:t>die</w:t>
      </w:r>
      <w:r>
        <w:rPr>
          <w:spacing w:val="28"/>
        </w:rPr>
        <w:t> </w:t>
      </w:r>
      <w:r>
        <w:rPr/>
        <w:t>Solarener-</w:t>
      </w:r>
      <w:r>
        <w:rPr/>
        <w:t> gie.</w:t>
      </w:r>
      <w:r>
        <w:rPr>
          <w:spacing w:val="7"/>
        </w:rPr>
        <w:t> </w:t>
      </w:r>
      <w:r>
        <w:rPr/>
        <w:t>Er</w:t>
      </w:r>
      <w:r>
        <w:rPr>
          <w:spacing w:val="7"/>
        </w:rPr>
        <w:t> </w:t>
      </w:r>
      <w:r>
        <w:rPr/>
        <w:t>erwarb</w:t>
      </w:r>
      <w:r>
        <w:rPr>
          <w:spacing w:val="7"/>
        </w:rPr>
        <w:t> </w:t>
      </w:r>
      <w:r>
        <w:rPr/>
        <w:t>einen</w:t>
      </w:r>
      <w:r>
        <w:rPr>
          <w:spacing w:val="7"/>
        </w:rPr>
        <w:t> </w:t>
      </w:r>
      <w:r>
        <w:rPr/>
        <w:t>Takeuchi-Bagger,</w:t>
      </w:r>
      <w:r>
        <w:rPr>
          <w:spacing w:val="7"/>
        </w:rPr>
        <w:t> </w:t>
      </w:r>
      <w:r>
        <w:rPr/>
        <w:t>den</w:t>
      </w:r>
      <w:r>
        <w:rPr/>
        <w:t> er</w:t>
      </w:r>
      <w:r>
        <w:rPr>
          <w:spacing w:val="-12"/>
        </w:rPr>
        <w:t> </w:t>
      </w:r>
      <w:r>
        <w:rPr/>
        <w:t>als</w:t>
      </w:r>
      <w:r>
        <w:rPr>
          <w:spacing w:val="-12"/>
        </w:rPr>
        <w:t> </w:t>
      </w:r>
      <w:r>
        <w:rPr/>
        <w:t>weltweit</w:t>
      </w:r>
      <w:r>
        <w:rPr>
          <w:spacing w:val="-12"/>
        </w:rPr>
        <w:t> </w:t>
      </w:r>
      <w:r>
        <w:rPr/>
        <w:t>Erster</w:t>
      </w:r>
      <w:r>
        <w:rPr>
          <w:spacing w:val="-12"/>
        </w:rPr>
        <w:t> </w:t>
      </w:r>
      <w:r>
        <w:rPr/>
        <w:t>mit</w:t>
      </w:r>
      <w:r>
        <w:rPr>
          <w:spacing w:val="-12"/>
        </w:rPr>
        <w:t> </w:t>
      </w:r>
      <w:r>
        <w:rPr/>
        <w:t>einer</w:t>
      </w:r>
      <w:r>
        <w:rPr>
          <w:spacing w:val="-12"/>
        </w:rPr>
        <w:t> </w:t>
      </w:r>
      <w:r>
        <w:rPr/>
        <w:t>1.6-t-Batterie</w:t>
      </w:r>
      <w:r>
        <w:rPr>
          <w:spacing w:val="21"/>
        </w:rPr>
        <w:t> </w:t>
      </w:r>
      <w:r>
        <w:rPr/>
        <w:t>zum</w:t>
      </w:r>
      <w:r>
        <w:rPr>
          <w:spacing w:val="15"/>
        </w:rPr>
        <w:t> </w:t>
      </w:r>
      <w:r>
        <w:rPr/>
        <w:t>16-t-Solarbagger</w:t>
      </w:r>
      <w:r>
        <w:rPr>
          <w:spacing w:val="15"/>
        </w:rPr>
        <w:t> </w:t>
      </w:r>
      <w:r>
        <w:rPr/>
        <w:t>umbaute.</w:t>
      </w:r>
      <w:r>
        <w:rPr>
          <w:spacing w:val="15"/>
        </w:rPr>
        <w:t> </w:t>
      </w:r>
      <w:r>
        <w:rPr/>
        <w:t>Die</w:t>
      </w:r>
      <w:r>
        <w:rPr>
          <w:spacing w:val="15"/>
        </w:rPr>
        <w:t> </w:t>
      </w:r>
      <w:r>
        <w:rPr/>
        <w:t>Batte-</w:t>
      </w:r>
      <w:r>
        <w:rPr/>
        <w:t> rien</w:t>
      </w:r>
      <w:r>
        <w:rPr>
          <w:spacing w:val="-1"/>
        </w:rPr>
        <w:t> </w:t>
      </w:r>
      <w:r>
        <w:rPr/>
        <w:t>ersetzen</w:t>
      </w:r>
      <w:r>
        <w:rPr>
          <w:spacing w:val="-1"/>
        </w:rPr>
        <w:t> </w:t>
      </w:r>
      <w:r>
        <w:rPr/>
        <w:t>das</w:t>
      </w:r>
      <w:r>
        <w:rPr>
          <w:spacing w:val="-1"/>
        </w:rPr>
        <w:t> </w:t>
      </w:r>
      <w:r>
        <w:rPr/>
        <w:t>Gegengewicht</w:t>
      </w:r>
      <w:r>
        <w:rPr>
          <w:spacing w:val="-1"/>
        </w:rPr>
        <w:t> </w:t>
      </w:r>
      <w:r>
        <w:rPr/>
        <w:t>von</w:t>
      </w:r>
      <w:r>
        <w:rPr>
          <w:spacing w:val="-1"/>
        </w:rPr>
        <w:t> </w:t>
      </w:r>
      <w:r>
        <w:rPr/>
        <w:t>2</w:t>
      </w:r>
      <w:r>
        <w:rPr>
          <w:spacing w:val="-1"/>
        </w:rPr>
        <w:t> </w:t>
      </w:r>
      <w:r>
        <w:rPr/>
        <w:t>t</w:t>
      </w:r>
      <w:r>
        <w:rPr>
          <w:spacing w:val="-1"/>
        </w:rPr>
        <w:t> </w:t>
      </w:r>
      <w:r>
        <w:rPr/>
        <w:t>bei</w:t>
      </w:r>
      <w:r>
        <w:rPr/>
        <w:t> Dieselbaggern.</w:t>
      </w:r>
      <w:r>
        <w:rPr>
          <w:spacing w:val="33"/>
        </w:rPr>
        <w:t> </w:t>
      </w:r>
      <w:r>
        <w:rPr/>
        <w:t>Der</w:t>
      </w:r>
      <w:r>
        <w:rPr>
          <w:spacing w:val="34"/>
        </w:rPr>
        <w:t> </w:t>
      </w:r>
      <w:r>
        <w:rPr/>
        <w:t>jährliche</w:t>
      </w:r>
      <w:r>
        <w:rPr>
          <w:spacing w:val="33"/>
        </w:rPr>
        <w:t> </w:t>
      </w:r>
      <w:r>
        <w:rPr/>
        <w:t>Gesamtener-</w:t>
      </w:r>
    </w:p>
    <w:p>
      <w:pPr>
        <w:spacing w:line="230" w:lineRule="exact" w:before="52"/>
        <w:ind w:left="106" w:right="0" w:firstLine="0"/>
        <w:jc w:val="both"/>
        <w:rPr>
          <w:rFonts w:ascii="Theinhardt Regular Italic" w:hAnsi="Theinhardt Regular Italic" w:cs="Theinhardt Regular Italic" w:eastAsia="Theinhardt Regular Italic"/>
          <w:sz w:val="18"/>
          <w:szCs w:val="18"/>
        </w:rPr>
      </w:pPr>
      <w:r>
        <w:rPr/>
        <w:br w:type="column"/>
      </w:r>
      <w:r>
        <w:rPr>
          <w:rFonts w:ascii="Theinhardt Regular Italic" w:hAnsi="Theinhardt Regular Italic" w:cs="Theinhardt Regular Italic" w:eastAsia="Theinhardt Regular Italic"/>
          <w:i/>
          <w:spacing w:val="-1"/>
          <w:sz w:val="18"/>
          <w:szCs w:val="18"/>
        </w:rPr>
        <w:t>L’entrepreneur</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innovant</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Markus</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Affentranger</w:t>
      </w:r>
      <w:r>
        <w:rPr>
          <w:rFonts w:ascii="Theinhardt Regular Italic" w:hAnsi="Theinhardt Regular Italic" w:cs="Theinhardt Regular Italic" w:eastAsia="Theinhardt Regular Italic"/>
          <w:i/>
          <w:spacing w:val="29"/>
          <w:sz w:val="18"/>
          <w:szCs w:val="18"/>
        </w:rPr>
        <w:t> </w:t>
      </w:r>
      <w:r>
        <w:rPr>
          <w:rFonts w:ascii="Theinhardt Regular Italic" w:hAnsi="Theinhardt Regular Italic" w:cs="Theinhardt Regular Italic" w:eastAsia="Theinhardt Regular Italic"/>
          <w:i/>
          <w:sz w:val="18"/>
          <w:szCs w:val="18"/>
        </w:rPr>
        <w:t>signe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une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belle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avancée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l’énergie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solaire</w:t>
      </w:r>
      <w:r>
        <w:rPr>
          <w:rFonts w:ascii="Theinhardt Regular Italic" w:hAnsi="Theinhardt Regular Italic" w:cs="Theinhardt Regular Italic" w:eastAsia="Theinhardt Regular Italic"/>
          <w:i/>
          <w:sz w:val="18"/>
          <w:szCs w:val="18"/>
        </w:rPr>
        <w:t> dans</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le</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secteur</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du</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bâtiment,</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majoritairement</w:t>
      </w:r>
      <w:r>
        <w:rPr>
          <w:rFonts w:ascii="Theinhardt Regular Italic" w:hAnsi="Theinhardt Regular Italic" w:cs="Theinhardt Regular Italic" w:eastAsia="Theinhardt Regular Italic"/>
          <w:i/>
          <w:sz w:val="18"/>
          <w:szCs w:val="18"/>
        </w:rPr>
        <w:t> acquis</w:t>
      </w:r>
      <w:r>
        <w:rPr>
          <w:rFonts w:ascii="Theinhardt Regular Italic" w:hAnsi="Theinhardt Regular Italic" w:cs="Theinhardt Regular Italic" w:eastAsia="Theinhardt Regular Italic"/>
          <w:i/>
          <w:spacing w:val="27"/>
          <w:sz w:val="18"/>
          <w:szCs w:val="18"/>
        </w:rPr>
        <w:t> </w:t>
      </w:r>
      <w:r>
        <w:rPr>
          <w:rFonts w:ascii="Theinhardt Regular Italic" w:hAnsi="Theinhardt Regular Italic" w:cs="Theinhardt Regular Italic" w:eastAsia="Theinhardt Regular Italic"/>
          <w:i/>
          <w:sz w:val="18"/>
          <w:szCs w:val="18"/>
        </w:rPr>
        <w:t>aux</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énergies</w:t>
      </w:r>
      <w:r>
        <w:rPr>
          <w:rFonts w:ascii="Theinhardt Regular Italic" w:hAnsi="Theinhardt Regular Italic" w:cs="Theinhardt Regular Italic" w:eastAsia="Theinhardt Regular Italic"/>
          <w:i/>
          <w:spacing w:val="27"/>
          <w:sz w:val="18"/>
          <w:szCs w:val="18"/>
        </w:rPr>
        <w:t> </w:t>
      </w:r>
      <w:r>
        <w:rPr>
          <w:rFonts w:ascii="Theinhardt Regular Italic" w:hAnsi="Theinhardt Regular Italic" w:cs="Theinhardt Regular Italic" w:eastAsia="Theinhardt Regular Italic"/>
          <w:i/>
          <w:sz w:val="18"/>
          <w:szCs w:val="18"/>
        </w:rPr>
        <w:t>fossiles.</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Il</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a</w:t>
      </w:r>
      <w:r>
        <w:rPr>
          <w:rFonts w:ascii="Theinhardt Regular Italic" w:hAnsi="Theinhardt Regular Italic" w:cs="Theinhardt Regular Italic" w:eastAsia="Theinhardt Regular Italic"/>
          <w:i/>
          <w:spacing w:val="27"/>
          <w:sz w:val="18"/>
          <w:szCs w:val="18"/>
        </w:rPr>
        <w:t> </w:t>
      </w:r>
      <w:r>
        <w:rPr>
          <w:rFonts w:ascii="Theinhardt Regular Italic" w:hAnsi="Theinhardt Regular Italic" w:cs="Theinhardt Regular Italic" w:eastAsia="Theinhardt Regular Italic"/>
          <w:i/>
          <w:sz w:val="18"/>
          <w:szCs w:val="18"/>
        </w:rPr>
        <w:t>réalisé</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la</w:t>
      </w:r>
      <w:r>
        <w:rPr>
          <w:rFonts w:ascii="Theinhardt Regular Italic" w:hAnsi="Theinhardt Regular Italic" w:cs="Theinhardt Regular Italic" w:eastAsia="Theinhardt Regular Italic"/>
          <w:i/>
          <w:sz w:val="18"/>
          <w:szCs w:val="18"/>
        </w:rPr>
        <w:t> première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pelleteuse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solaire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au</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monde</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sur</w:t>
      </w:r>
      <w:r>
        <w:rPr>
          <w:rFonts w:ascii="Theinhardt Regular Italic" w:hAnsi="Theinhardt Regular Italic" w:cs="Theinhardt Regular Italic" w:eastAsia="Theinhardt Regular Italic"/>
          <w:i/>
          <w:spacing w:val="3"/>
          <w:sz w:val="18"/>
          <w:szCs w:val="18"/>
        </w:rPr>
        <w:t> </w:t>
      </w:r>
      <w:r>
        <w:rPr>
          <w:rFonts w:ascii="Theinhardt Regular Italic" w:hAnsi="Theinhardt Regular Italic" w:cs="Theinhardt Regular Italic" w:eastAsia="Theinhardt Regular Italic"/>
          <w:i/>
          <w:sz w:val="18"/>
          <w:szCs w:val="18"/>
        </w:rPr>
        <w:t>la</w:t>
      </w:r>
      <w:r>
        <w:rPr>
          <w:rFonts w:ascii="Theinhardt Regular Italic" w:hAnsi="Theinhardt Regular Italic" w:cs="Theinhardt Regular Italic" w:eastAsia="Theinhardt Regular Italic"/>
          <w:i/>
          <w:sz w:val="18"/>
          <w:szCs w:val="18"/>
        </w:rPr>
        <w:t> base</w:t>
      </w:r>
      <w:r>
        <w:rPr>
          <w:rFonts w:ascii="Theinhardt Regular Italic" w:hAnsi="Theinhardt Regular Italic" w:cs="Theinhardt Regular Italic" w:eastAsia="Theinhardt Regular Italic"/>
          <w:i/>
          <w:spacing w:val="37"/>
          <w:sz w:val="18"/>
          <w:szCs w:val="18"/>
        </w:rPr>
        <w:t> </w:t>
      </w:r>
      <w:r>
        <w:rPr>
          <w:rFonts w:ascii="Theinhardt Regular Italic" w:hAnsi="Theinhardt Regular Italic" w:cs="Theinhardt Regular Italic" w:eastAsia="Theinhardt Regular Italic"/>
          <w:i/>
          <w:sz w:val="18"/>
          <w:szCs w:val="18"/>
        </w:rPr>
        <w:t>d’un</w:t>
      </w:r>
      <w:r>
        <w:rPr>
          <w:rFonts w:ascii="Theinhardt Regular Italic" w:hAnsi="Theinhardt Regular Italic" w:cs="Theinhardt Regular Italic" w:eastAsia="Theinhardt Regular Italic"/>
          <w:i/>
          <w:spacing w:val="38"/>
          <w:sz w:val="18"/>
          <w:szCs w:val="18"/>
        </w:rPr>
        <w:t> </w:t>
      </w:r>
      <w:r>
        <w:rPr>
          <w:rFonts w:ascii="Theinhardt Regular Italic" w:hAnsi="Theinhardt Regular Italic" w:cs="Theinhardt Regular Italic" w:eastAsia="Theinhardt Regular Italic"/>
          <w:i/>
          <w:sz w:val="18"/>
          <w:szCs w:val="18"/>
        </w:rPr>
        <w:t>modèle</w:t>
      </w:r>
      <w:r>
        <w:rPr>
          <w:rFonts w:ascii="Theinhardt Regular Italic" w:hAnsi="Theinhardt Regular Italic" w:cs="Theinhardt Regular Italic" w:eastAsia="Theinhardt Regular Italic"/>
          <w:i/>
          <w:spacing w:val="37"/>
          <w:sz w:val="18"/>
          <w:szCs w:val="18"/>
        </w:rPr>
        <w:t> </w:t>
      </w:r>
      <w:r>
        <w:rPr>
          <w:rFonts w:ascii="Theinhardt Regular Italic" w:hAnsi="Theinhardt Regular Italic" w:cs="Theinhardt Regular Italic" w:eastAsia="Theinhardt Regular Italic"/>
          <w:i/>
          <w:sz w:val="18"/>
          <w:szCs w:val="18"/>
        </w:rPr>
        <w:t>Takeuchi,</w:t>
      </w:r>
      <w:r>
        <w:rPr>
          <w:rFonts w:ascii="Theinhardt Regular Italic" w:hAnsi="Theinhardt Regular Italic" w:cs="Theinhardt Regular Italic" w:eastAsia="Theinhardt Regular Italic"/>
          <w:i/>
          <w:spacing w:val="38"/>
          <w:sz w:val="18"/>
          <w:szCs w:val="18"/>
        </w:rPr>
        <w:t> </w:t>
      </w:r>
      <w:r>
        <w:rPr>
          <w:rFonts w:ascii="Theinhardt Regular Italic" w:hAnsi="Theinhardt Regular Italic" w:cs="Theinhardt Regular Italic" w:eastAsia="Theinhardt Regular Italic"/>
          <w:i/>
          <w:sz w:val="18"/>
          <w:szCs w:val="18"/>
        </w:rPr>
        <w:t>en</w:t>
      </w:r>
      <w:r>
        <w:rPr>
          <w:rFonts w:ascii="Theinhardt Regular Italic" w:hAnsi="Theinhardt Regular Italic" w:cs="Theinhardt Regular Italic" w:eastAsia="Theinhardt Regular Italic"/>
          <w:i/>
          <w:spacing w:val="38"/>
          <w:sz w:val="18"/>
          <w:szCs w:val="18"/>
        </w:rPr>
        <w:t> </w:t>
      </w:r>
      <w:r>
        <w:rPr>
          <w:rFonts w:ascii="Theinhardt Regular Italic" w:hAnsi="Theinhardt Regular Italic" w:cs="Theinhardt Regular Italic" w:eastAsia="Theinhardt Regular Italic"/>
          <w:i/>
          <w:sz w:val="18"/>
          <w:szCs w:val="18"/>
        </w:rPr>
        <w:t>l’équipant</w:t>
      </w:r>
      <w:r>
        <w:rPr>
          <w:rFonts w:ascii="Theinhardt Regular Italic" w:hAnsi="Theinhardt Regular Italic" w:cs="Theinhardt Regular Italic" w:eastAsia="Theinhardt Regular Italic"/>
          <w:i/>
          <w:sz w:val="18"/>
          <w:szCs w:val="18"/>
        </w:rPr>
        <w:t> d’une</w:t>
      </w:r>
      <w:r>
        <w:rPr>
          <w:rFonts w:ascii="Theinhardt Regular Italic" w:hAnsi="Theinhardt Regular Italic" w:cs="Theinhardt Regular Italic" w:eastAsia="Theinhardt Regular Italic"/>
          <w:i/>
          <w:spacing w:val="-1"/>
          <w:sz w:val="18"/>
          <w:szCs w:val="18"/>
        </w:rPr>
        <w:t> </w:t>
      </w:r>
      <w:r>
        <w:rPr>
          <w:rFonts w:ascii="Theinhardt Regular Italic" w:hAnsi="Theinhardt Regular Italic" w:cs="Theinhardt Regular Italic" w:eastAsia="Theinhardt Regular Italic"/>
          <w:i/>
          <w:sz w:val="18"/>
          <w:szCs w:val="18"/>
        </w:rPr>
        <w:t>batterie</w:t>
      </w:r>
      <w:r>
        <w:rPr>
          <w:rFonts w:ascii="Theinhardt Regular Italic" w:hAnsi="Theinhardt Regular Italic" w:cs="Theinhardt Regular Italic" w:eastAsia="Theinhardt Regular Italic"/>
          <w:i/>
          <w:spacing w:val="-1"/>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1"/>
          <w:sz w:val="18"/>
          <w:szCs w:val="18"/>
        </w:rPr>
        <w:t> </w:t>
      </w:r>
      <w:r>
        <w:rPr>
          <w:rFonts w:ascii="Theinhardt Regular Italic" w:hAnsi="Theinhardt Regular Italic" w:cs="Theinhardt Regular Italic" w:eastAsia="Theinhardt Regular Italic"/>
          <w:i/>
          <w:sz w:val="18"/>
          <w:szCs w:val="18"/>
        </w:rPr>
        <w:t>1,6</w:t>
      </w:r>
      <w:r>
        <w:rPr>
          <w:rFonts w:ascii="Theinhardt Regular Italic" w:hAnsi="Theinhardt Regular Italic" w:cs="Theinhardt Regular Italic" w:eastAsia="Theinhardt Regular Italic"/>
          <w:i/>
          <w:spacing w:val="-1"/>
          <w:sz w:val="18"/>
          <w:szCs w:val="18"/>
        </w:rPr>
        <w:t> </w:t>
      </w:r>
      <w:r>
        <w:rPr>
          <w:rFonts w:ascii="Theinhardt Regular Italic" w:hAnsi="Theinhardt Regular Italic" w:cs="Theinhardt Regular Italic" w:eastAsia="Theinhardt Regular Italic"/>
          <w:i/>
          <w:sz w:val="18"/>
          <w:szCs w:val="18"/>
        </w:rPr>
        <w:t>t.</w:t>
      </w:r>
      <w:r>
        <w:rPr>
          <w:rFonts w:ascii="Theinhardt Regular Italic" w:hAnsi="Theinhardt Regular Italic" w:cs="Theinhardt Regular Italic" w:eastAsia="Theinhardt Regular Italic"/>
          <w:i/>
          <w:spacing w:val="-1"/>
          <w:sz w:val="18"/>
          <w:szCs w:val="18"/>
        </w:rPr>
        <w:t> </w:t>
      </w:r>
      <w:r>
        <w:rPr>
          <w:rFonts w:ascii="Theinhardt Regular Italic" w:hAnsi="Theinhardt Regular Italic" w:cs="Theinhardt Regular Italic" w:eastAsia="Theinhardt Regular Italic"/>
          <w:i/>
          <w:sz w:val="18"/>
          <w:szCs w:val="18"/>
        </w:rPr>
        <w:t>Celles-ci</w:t>
      </w:r>
      <w:r>
        <w:rPr>
          <w:rFonts w:ascii="Theinhardt Regular Italic" w:hAnsi="Theinhardt Regular Italic" w:cs="Theinhardt Regular Italic" w:eastAsia="Theinhardt Regular Italic"/>
          <w:i/>
          <w:spacing w:val="-1"/>
          <w:sz w:val="18"/>
          <w:szCs w:val="18"/>
        </w:rPr>
        <w:t> </w:t>
      </w:r>
      <w:r>
        <w:rPr>
          <w:rFonts w:ascii="Theinhardt Regular Italic" w:hAnsi="Theinhardt Regular Italic" w:cs="Theinhardt Regular Italic" w:eastAsia="Theinhardt Regular Italic"/>
          <w:i/>
          <w:sz w:val="18"/>
          <w:szCs w:val="18"/>
        </w:rPr>
        <w:t>remplacent</w:t>
      </w:r>
      <w:r>
        <w:rPr>
          <w:rFonts w:ascii="Theinhardt Regular Italic" w:hAnsi="Theinhardt Regular Italic" w:cs="Theinhardt Regular Italic" w:eastAsia="Theinhardt Regular Italic"/>
          <w:i/>
          <w:sz w:val="18"/>
          <w:szCs w:val="18"/>
        </w:rPr>
        <w:t> le</w:t>
      </w:r>
      <w:r>
        <w:rPr>
          <w:rFonts w:ascii="Theinhardt Regular Italic" w:hAnsi="Theinhardt Regular Italic" w:cs="Theinhardt Regular Italic" w:eastAsia="Theinhardt Regular Italic"/>
          <w:i/>
          <w:spacing w:val="-4"/>
          <w:sz w:val="18"/>
          <w:szCs w:val="18"/>
        </w:rPr>
        <w:t> </w:t>
      </w:r>
      <w:r>
        <w:rPr>
          <w:rFonts w:ascii="Theinhardt Regular Italic" w:hAnsi="Theinhardt Regular Italic" w:cs="Theinhardt Regular Italic" w:eastAsia="Theinhardt Regular Italic"/>
          <w:i/>
          <w:sz w:val="18"/>
          <w:szCs w:val="18"/>
        </w:rPr>
        <w:t>contrepoids</w:t>
      </w:r>
      <w:r>
        <w:rPr>
          <w:rFonts w:ascii="Theinhardt Regular Italic" w:hAnsi="Theinhardt Regular Italic" w:cs="Theinhardt Regular Italic" w:eastAsia="Theinhardt Regular Italic"/>
          <w:i/>
          <w:spacing w:val="-4"/>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4"/>
          <w:sz w:val="18"/>
          <w:szCs w:val="18"/>
        </w:rPr>
        <w:t> </w:t>
      </w:r>
      <w:r>
        <w:rPr>
          <w:rFonts w:ascii="Theinhardt Regular Italic" w:hAnsi="Theinhardt Regular Italic" w:cs="Theinhardt Regular Italic" w:eastAsia="Theinhardt Regular Italic"/>
          <w:i/>
          <w:sz w:val="18"/>
          <w:szCs w:val="18"/>
        </w:rPr>
        <w:t>2</w:t>
      </w:r>
      <w:r>
        <w:rPr>
          <w:rFonts w:ascii="Theinhardt Regular Italic" w:hAnsi="Theinhardt Regular Italic" w:cs="Theinhardt Regular Italic" w:eastAsia="Theinhardt Regular Italic"/>
          <w:i/>
          <w:spacing w:val="-4"/>
          <w:sz w:val="18"/>
          <w:szCs w:val="18"/>
        </w:rPr>
        <w:t> </w:t>
      </w:r>
      <w:r>
        <w:rPr>
          <w:rFonts w:ascii="Theinhardt Regular Italic" w:hAnsi="Theinhardt Regular Italic" w:cs="Theinhardt Regular Italic" w:eastAsia="Theinhardt Regular Italic"/>
          <w:i/>
          <w:sz w:val="18"/>
          <w:szCs w:val="18"/>
        </w:rPr>
        <w:t>t</w:t>
      </w:r>
      <w:r>
        <w:rPr>
          <w:rFonts w:ascii="Theinhardt Regular Italic" w:hAnsi="Theinhardt Regular Italic" w:cs="Theinhardt Regular Italic" w:eastAsia="Theinhardt Regular Italic"/>
          <w:i/>
          <w:spacing w:val="-4"/>
          <w:sz w:val="18"/>
          <w:szCs w:val="18"/>
        </w:rPr>
        <w:t> </w:t>
      </w:r>
      <w:r>
        <w:rPr>
          <w:rFonts w:ascii="Theinhardt Regular Italic" w:hAnsi="Theinhardt Regular Italic" w:cs="Theinhardt Regular Italic" w:eastAsia="Theinhardt Regular Italic"/>
          <w:i/>
          <w:sz w:val="18"/>
          <w:szCs w:val="18"/>
        </w:rPr>
        <w:t>d’un</w:t>
      </w:r>
      <w:r>
        <w:rPr>
          <w:rFonts w:ascii="Theinhardt Regular Italic" w:hAnsi="Theinhardt Regular Italic" w:cs="Theinhardt Regular Italic" w:eastAsia="Theinhardt Regular Italic"/>
          <w:i/>
          <w:spacing w:val="-4"/>
          <w:sz w:val="18"/>
          <w:szCs w:val="18"/>
        </w:rPr>
        <w:t> </w:t>
      </w:r>
      <w:r>
        <w:rPr>
          <w:rFonts w:ascii="Theinhardt Regular Italic" w:hAnsi="Theinhardt Regular Italic" w:cs="Theinhardt Regular Italic" w:eastAsia="Theinhardt Regular Italic"/>
          <w:i/>
          <w:sz w:val="18"/>
          <w:szCs w:val="18"/>
        </w:rPr>
        <w:t>modèle</w:t>
      </w:r>
      <w:r>
        <w:rPr>
          <w:rFonts w:ascii="Theinhardt Regular Italic" w:hAnsi="Theinhardt Regular Italic" w:cs="Theinhardt Regular Italic" w:eastAsia="Theinhardt Regular Italic"/>
          <w:i/>
          <w:spacing w:val="-4"/>
          <w:sz w:val="18"/>
          <w:szCs w:val="18"/>
        </w:rPr>
        <w:t> </w:t>
      </w:r>
      <w:r>
        <w:rPr>
          <w:rFonts w:ascii="Theinhardt Regular Italic" w:hAnsi="Theinhardt Regular Italic" w:cs="Theinhardt Regular Italic" w:eastAsia="Theinhardt Regular Italic"/>
          <w:i/>
          <w:sz w:val="18"/>
          <w:szCs w:val="18"/>
        </w:rPr>
        <w:t>diesel.</w:t>
      </w:r>
      <w:r>
        <w:rPr>
          <w:rFonts w:ascii="Theinhardt Regular Italic" w:hAnsi="Theinhardt Regular Italic" w:cs="Theinhardt Regular Italic" w:eastAsia="Theinhardt Regular Italic"/>
          <w:i/>
          <w:spacing w:val="-4"/>
          <w:sz w:val="18"/>
          <w:szCs w:val="18"/>
        </w:rPr>
        <w:t> </w:t>
      </w:r>
      <w:r>
        <w:rPr>
          <w:rFonts w:ascii="Theinhardt Regular Italic" w:hAnsi="Theinhardt Regular Italic" w:cs="Theinhardt Regular Italic" w:eastAsia="Theinhardt Regular Italic"/>
          <w:i/>
          <w:sz w:val="18"/>
          <w:szCs w:val="18"/>
        </w:rPr>
        <w:t>Ce</w:t>
      </w:r>
      <w:r>
        <w:rPr>
          <w:rFonts w:ascii="Theinhardt Regular Italic" w:hAnsi="Theinhardt Regular Italic" w:cs="Theinhardt Regular Italic" w:eastAsia="Theinhardt Regular Italic"/>
          <w:sz w:val="18"/>
          <w:szCs w:val="18"/>
        </w:rPr>
      </w:r>
    </w:p>
    <w:p>
      <w:pPr>
        <w:tabs>
          <w:tab w:pos="3438" w:val="left" w:leader="none"/>
        </w:tabs>
        <w:spacing w:before="67"/>
        <w:ind w:left="106" w:right="0" w:firstLine="0"/>
        <w:jc w:val="left"/>
        <w:rPr>
          <w:rFonts w:ascii="Theinhardt Black" w:hAnsi="Theinhardt Black" w:cs="Theinhardt Black" w:eastAsia="Theinhardt Black"/>
          <w:sz w:val="14"/>
          <w:szCs w:val="14"/>
        </w:rPr>
      </w:pPr>
      <w:r>
        <w:rPr/>
        <w:br w:type="column"/>
      </w:r>
      <w:r>
        <w:rPr>
          <w:rFonts w:ascii="Theinhardt Black"/>
          <w:b/>
          <w:sz w:val="14"/>
        </w:rPr>
      </w:r>
      <w:r>
        <w:rPr>
          <w:rFonts w:ascii="Theinhardt Black"/>
          <w:b/>
          <w:sz w:val="14"/>
          <w:u w:val="dotted" w:color="000000"/>
        </w:rPr>
        <w:t>Technische </w:t>
      </w:r>
      <w:r>
        <w:rPr>
          <w:rFonts w:ascii="Theinhardt Black"/>
          <w:b/>
          <w:spacing w:val="1"/>
          <w:sz w:val="14"/>
          <w:u w:val="dotted" w:color="000000"/>
        </w:rPr>
        <w:t>Daten</w:t>
      </w:r>
      <w:r>
        <w:rPr>
          <w:rFonts w:ascii="Theinhardt Black"/>
          <w:b/>
          <w:sz w:val="14"/>
          <w:u w:val="dotted" w:color="000000"/>
        </w:rPr>
        <w:t> </w:t>
        <w:tab/>
      </w:r>
      <w:r>
        <w:rPr>
          <w:rFonts w:ascii="Theinhardt Black"/>
          <w:b/>
          <w:sz w:val="14"/>
        </w:rPr>
      </w:r>
      <w:r>
        <w:rPr>
          <w:rFonts w:ascii="Theinhardt Black"/>
          <w:sz w:val="14"/>
        </w:rPr>
      </w:r>
    </w:p>
    <w:p>
      <w:pPr>
        <w:spacing w:line="240" w:lineRule="auto" w:before="10"/>
        <w:rPr>
          <w:rFonts w:ascii="Theinhardt Black" w:hAnsi="Theinhardt Black" w:cs="Theinhardt Black" w:eastAsia="Theinhardt Black"/>
          <w:b/>
          <w:bCs/>
          <w:sz w:val="2"/>
          <w:szCs w:val="2"/>
        </w:rPr>
      </w:pPr>
    </w:p>
    <w:p>
      <w:pPr>
        <w:tabs>
          <w:tab w:pos="3443" w:val="left" w:leader="none"/>
        </w:tabs>
        <w:spacing w:line="20" w:lineRule="atLeast"/>
        <w:ind w:left="106" w:right="0" w:firstLine="0"/>
        <w:rPr>
          <w:rFonts w:ascii="Theinhardt Black" w:hAnsi="Theinhardt Black" w:cs="Theinhardt Black" w:eastAsia="Theinhardt Black"/>
          <w:sz w:val="2"/>
          <w:szCs w:val="2"/>
        </w:rPr>
      </w:pPr>
      <w:r>
        <w:rPr>
          <w:rFonts w:ascii="Theinhardt Black"/>
          <w:sz w:val="2"/>
        </w:rPr>
        <w:pict>
          <v:group style="width:.45pt;height:.45pt;mso-position-horizontal-relative:char;mso-position-vertical-relative:line" coordorigin="0,0" coordsize="9,9">
            <v:group style="position:absolute;left:4;top:4;width:2;height:2" coordorigin="4,4" coordsize="2,2">
              <v:shape style="position:absolute;left:4;top:4;width:2;height:2" coordorigin="4,4" coordsize="0,0" path="m4,4l4,4e" filled="false" stroked="true" strokeweight=".425pt" strokecolor="#000000">
                <v:path arrowok="t"/>
              </v:shape>
            </v:group>
          </v:group>
        </w:pict>
      </w:r>
      <w:r>
        <w:rPr>
          <w:rFonts w:ascii="Theinhardt Black"/>
          <w:sz w:val="2"/>
        </w:rPr>
      </w:r>
      <w:r>
        <w:rPr>
          <w:rFonts w:ascii="Theinhardt Black"/>
          <w:sz w:val="2"/>
        </w:rPr>
        <w:tab/>
      </w:r>
      <w:r>
        <w:rPr>
          <w:rFonts w:ascii="Theinhardt Black"/>
          <w:sz w:val="2"/>
        </w:rPr>
        <w:pict>
          <v:group style="width:.45pt;height:.45pt;mso-position-horizontal-relative:char;mso-position-vertical-relative:line" coordorigin="0,0" coordsize="9,9">
            <v:group style="position:absolute;left:4;top:4;width:2;height:2" coordorigin="4,4" coordsize="2,2">
              <v:shape style="position:absolute;left:4;top:4;width:2;height:2" coordorigin="4,4" coordsize="0,0" path="m4,4l4,4e" filled="false" stroked="true" strokeweight=".425pt" strokecolor="#000000">
                <v:path arrowok="t"/>
              </v:shape>
            </v:group>
          </v:group>
        </w:pict>
      </w:r>
      <w:r>
        <w:rPr>
          <w:rFonts w:ascii="Theinhardt Black"/>
          <w:sz w:val="2"/>
        </w:rPr>
      </w:r>
    </w:p>
    <w:p>
      <w:pPr>
        <w:tabs>
          <w:tab w:pos="2833" w:val="left" w:leader="none"/>
        </w:tabs>
        <w:spacing w:line="172" w:lineRule="exact" w:before="67"/>
        <w:ind w:left="106" w:right="0" w:firstLine="0"/>
        <w:jc w:val="left"/>
        <w:rPr>
          <w:rFonts w:ascii="Theinhardt Regular" w:hAnsi="Theinhardt Regular" w:cs="Theinhardt Regular" w:eastAsia="Theinhardt Regular"/>
          <w:sz w:val="14"/>
          <w:szCs w:val="14"/>
        </w:rPr>
      </w:pPr>
      <w:r>
        <w:rPr>
          <w:rFonts w:ascii="Theinhardt Bold"/>
          <w:b/>
          <w:spacing w:val="1"/>
          <w:sz w:val="14"/>
        </w:rPr>
        <w:t>Nominale</w:t>
      </w:r>
      <w:r>
        <w:rPr>
          <w:rFonts w:ascii="Theinhardt Bold"/>
          <w:b/>
          <w:sz w:val="14"/>
        </w:rPr>
        <w:t> </w:t>
      </w:r>
      <w:r>
        <w:rPr>
          <w:rFonts w:ascii="Theinhardt Bold"/>
          <w:b/>
          <w:spacing w:val="1"/>
          <w:sz w:val="14"/>
        </w:rPr>
        <w:t>Leistung:</w:t>
        <w:tab/>
      </w:r>
      <w:r>
        <w:rPr>
          <w:rFonts w:ascii="Theinhardt Regular"/>
          <w:spacing w:val="-1"/>
          <w:sz w:val="14"/>
        </w:rPr>
        <w:t>75</w:t>
      </w:r>
      <w:r>
        <w:rPr>
          <w:rFonts w:ascii="Theinhardt Regular"/>
          <w:sz w:val="14"/>
        </w:rPr>
        <w:t> </w:t>
      </w:r>
      <w:r>
        <w:rPr>
          <w:rFonts w:ascii="Theinhardt Regular"/>
          <w:spacing w:val="1"/>
          <w:sz w:val="14"/>
        </w:rPr>
        <w:t>kW</w:t>
      </w:r>
    </w:p>
    <w:p>
      <w:pPr>
        <w:tabs>
          <w:tab w:pos="2757" w:val="left" w:leader="none"/>
        </w:tabs>
        <w:spacing w:line="160" w:lineRule="exact" w:before="0"/>
        <w:ind w:left="106" w:right="0" w:firstLine="0"/>
        <w:jc w:val="left"/>
        <w:rPr>
          <w:rFonts w:ascii="Theinhardt Regular" w:hAnsi="Theinhardt Regular" w:cs="Theinhardt Regular" w:eastAsia="Theinhardt Regular"/>
          <w:sz w:val="14"/>
          <w:szCs w:val="14"/>
        </w:rPr>
      </w:pPr>
      <w:r>
        <w:rPr>
          <w:rFonts w:ascii="Theinhardt Bold"/>
          <w:b/>
          <w:spacing w:val="2"/>
          <w:sz w:val="14"/>
        </w:rPr>
        <w:t>Maximale</w:t>
      </w:r>
      <w:r>
        <w:rPr>
          <w:rFonts w:ascii="Theinhardt Bold"/>
          <w:b/>
          <w:sz w:val="14"/>
        </w:rPr>
        <w:t> </w:t>
      </w:r>
      <w:r>
        <w:rPr>
          <w:rFonts w:ascii="Theinhardt Bold"/>
          <w:b/>
          <w:spacing w:val="1"/>
          <w:sz w:val="14"/>
        </w:rPr>
        <w:t>Leistung:</w:t>
        <w:tab/>
      </w:r>
      <w:r>
        <w:rPr>
          <w:rFonts w:ascii="Theinhardt Regular"/>
          <w:spacing w:val="-3"/>
          <w:sz w:val="14"/>
        </w:rPr>
        <w:t>167</w:t>
      </w:r>
      <w:r>
        <w:rPr>
          <w:rFonts w:ascii="Theinhardt Regular"/>
          <w:sz w:val="14"/>
        </w:rPr>
        <w:t> </w:t>
      </w:r>
      <w:r>
        <w:rPr>
          <w:rFonts w:ascii="Theinhardt Regular"/>
          <w:spacing w:val="1"/>
          <w:sz w:val="14"/>
        </w:rPr>
        <w:t>kW</w:t>
      </w:r>
    </w:p>
    <w:p>
      <w:pPr>
        <w:tabs>
          <w:tab w:pos="2719" w:val="left" w:leader="none"/>
        </w:tabs>
        <w:spacing w:line="160" w:lineRule="exact" w:before="0"/>
        <w:ind w:left="106" w:right="0" w:firstLine="0"/>
        <w:jc w:val="left"/>
        <w:rPr>
          <w:rFonts w:ascii="Theinhardt Regular" w:hAnsi="Theinhardt Regular" w:cs="Theinhardt Regular" w:eastAsia="Theinhardt Regular"/>
          <w:sz w:val="14"/>
          <w:szCs w:val="14"/>
        </w:rPr>
      </w:pPr>
      <w:r>
        <w:rPr>
          <w:rFonts w:ascii="Theinhardt Bold"/>
          <w:b/>
          <w:spacing w:val="2"/>
          <w:sz w:val="14"/>
        </w:rPr>
        <w:t>Maximales</w:t>
      </w:r>
      <w:r>
        <w:rPr>
          <w:rFonts w:ascii="Theinhardt Bold"/>
          <w:b/>
          <w:sz w:val="14"/>
        </w:rPr>
        <w:t> </w:t>
      </w:r>
      <w:r>
        <w:rPr>
          <w:rFonts w:ascii="Theinhardt Bold"/>
          <w:b/>
          <w:spacing w:val="1"/>
          <w:sz w:val="14"/>
        </w:rPr>
        <w:t>Drehmoment:</w:t>
        <w:tab/>
      </w:r>
      <w:r>
        <w:rPr>
          <w:rFonts w:ascii="Theinhardt Regular"/>
          <w:spacing w:val="2"/>
          <w:sz w:val="14"/>
        </w:rPr>
        <w:t>600</w:t>
      </w:r>
      <w:r>
        <w:rPr>
          <w:rFonts w:ascii="Theinhardt Regular"/>
          <w:sz w:val="14"/>
        </w:rPr>
        <w:t> </w:t>
      </w:r>
      <w:r>
        <w:rPr>
          <w:rFonts w:ascii="Theinhardt Regular"/>
          <w:spacing w:val="1"/>
          <w:sz w:val="14"/>
        </w:rPr>
        <w:t>Nm</w:t>
      </w:r>
    </w:p>
    <w:p>
      <w:pPr>
        <w:tabs>
          <w:tab w:pos="2930" w:val="left" w:leader="none"/>
        </w:tabs>
        <w:spacing w:line="160" w:lineRule="exact" w:before="0"/>
        <w:ind w:left="106" w:right="0" w:firstLine="0"/>
        <w:jc w:val="left"/>
        <w:rPr>
          <w:rFonts w:ascii="Theinhardt Regular" w:hAnsi="Theinhardt Regular" w:cs="Theinhardt Regular" w:eastAsia="Theinhardt Regular"/>
          <w:sz w:val="14"/>
          <w:szCs w:val="14"/>
        </w:rPr>
      </w:pPr>
      <w:r>
        <w:rPr>
          <w:rFonts w:ascii="Theinhardt Bold"/>
          <w:b/>
          <w:spacing w:val="1"/>
          <w:sz w:val="14"/>
        </w:rPr>
        <w:t>Wirkungsgrad</w:t>
      </w:r>
      <w:r>
        <w:rPr>
          <w:rFonts w:ascii="Theinhardt Bold"/>
          <w:b/>
          <w:sz w:val="14"/>
        </w:rPr>
        <w:t> </w:t>
      </w:r>
      <w:r>
        <w:rPr>
          <w:rFonts w:ascii="Theinhardt Bold"/>
          <w:b/>
          <w:spacing w:val="2"/>
          <w:sz w:val="14"/>
        </w:rPr>
        <w:t>Elektromotor:</w:t>
        <w:tab/>
      </w:r>
      <w:r>
        <w:rPr>
          <w:rFonts w:ascii="Theinhardt Regular"/>
          <w:spacing w:val="1"/>
          <w:sz w:val="14"/>
        </w:rPr>
        <w:t>96%</w:t>
      </w:r>
      <w:r>
        <w:rPr>
          <w:rFonts w:ascii="Theinhardt Regular"/>
          <w:sz w:val="14"/>
        </w:rPr>
      </w:r>
    </w:p>
    <w:p>
      <w:pPr>
        <w:tabs>
          <w:tab w:pos="2953" w:val="left" w:leader="none"/>
        </w:tabs>
        <w:spacing w:line="172" w:lineRule="exact" w:before="0"/>
        <w:ind w:left="106" w:right="0" w:firstLine="0"/>
        <w:jc w:val="left"/>
        <w:rPr>
          <w:rFonts w:ascii="Theinhardt Regular" w:hAnsi="Theinhardt Regular" w:cs="Theinhardt Regular" w:eastAsia="Theinhardt Regular"/>
          <w:sz w:val="14"/>
          <w:szCs w:val="14"/>
        </w:rPr>
      </w:pPr>
      <w:r>
        <w:rPr>
          <w:rFonts w:ascii="Theinhardt Bold"/>
          <w:b/>
          <w:spacing w:val="2"/>
          <w:sz w:val="14"/>
        </w:rPr>
        <w:t>Batteriegewicht:</w:t>
        <w:tab/>
      </w:r>
      <w:r>
        <w:rPr>
          <w:rFonts w:ascii="Theinhardt Regular"/>
          <w:spacing w:val="-3"/>
          <w:sz w:val="14"/>
        </w:rPr>
        <w:t>1.6</w:t>
      </w:r>
      <w:r>
        <w:rPr>
          <w:rFonts w:ascii="Theinhardt Regular"/>
          <w:sz w:val="14"/>
        </w:rPr>
        <w:t> t</w:t>
      </w:r>
    </w:p>
    <w:p>
      <w:pPr>
        <w:tabs>
          <w:tab w:pos="3226" w:val="right" w:leader="none"/>
        </w:tabs>
        <w:spacing w:line="172" w:lineRule="exact" w:before="35"/>
        <w:ind w:left="106" w:right="0" w:firstLine="0"/>
        <w:jc w:val="left"/>
        <w:rPr>
          <w:rFonts w:ascii="Theinhardt Regular" w:hAnsi="Theinhardt Regular" w:cs="Theinhardt Regular" w:eastAsia="Theinhardt Regular"/>
          <w:sz w:val="14"/>
          <w:szCs w:val="14"/>
        </w:rPr>
      </w:pPr>
      <w:r>
        <w:rPr>
          <w:rFonts w:ascii="Theinhardt Bold"/>
          <w:b/>
          <w:spacing w:val="1"/>
          <w:sz w:val="14"/>
        </w:rPr>
        <w:t>Einsatztage/Jahr:</w:t>
      </w:r>
      <w:r>
        <w:rPr>
          <w:rFonts w:ascii="Theinhardt Regular"/>
          <w:spacing w:val="1"/>
          <w:sz w:val="14"/>
        </w:rPr>
        <w:tab/>
      </w:r>
      <w:r>
        <w:rPr>
          <w:rFonts w:ascii="Theinhardt Regular"/>
          <w:spacing w:val="-3"/>
          <w:sz w:val="14"/>
        </w:rPr>
        <w:t>125</w:t>
      </w:r>
    </w:p>
    <w:p>
      <w:pPr>
        <w:tabs>
          <w:tab w:pos="2701" w:val="left" w:leader="none"/>
        </w:tabs>
        <w:spacing w:line="160" w:lineRule="exact" w:before="0"/>
        <w:ind w:left="106" w:right="0" w:firstLine="0"/>
        <w:jc w:val="left"/>
        <w:rPr>
          <w:rFonts w:ascii="Theinhardt Regular" w:hAnsi="Theinhardt Regular" w:cs="Theinhardt Regular" w:eastAsia="Theinhardt Regular"/>
          <w:sz w:val="14"/>
          <w:szCs w:val="14"/>
        </w:rPr>
      </w:pPr>
      <w:r>
        <w:rPr>
          <w:rFonts w:ascii="Theinhardt Bold"/>
          <w:b/>
          <w:spacing w:val="1"/>
          <w:sz w:val="14"/>
        </w:rPr>
        <w:t>Lebensdauer:</w:t>
        <w:tab/>
      </w:r>
      <w:r>
        <w:rPr>
          <w:rFonts w:ascii="Theinhardt Regular"/>
          <w:spacing w:val="-3"/>
          <w:sz w:val="14"/>
        </w:rPr>
        <w:t>10</w:t>
      </w:r>
      <w:r>
        <w:rPr>
          <w:rFonts w:ascii="Theinhardt Regular"/>
          <w:sz w:val="14"/>
        </w:rPr>
        <w:t> </w:t>
      </w:r>
      <w:r>
        <w:rPr>
          <w:rFonts w:ascii="Theinhardt Regular"/>
          <w:spacing w:val="1"/>
          <w:sz w:val="14"/>
        </w:rPr>
        <w:t>Jahre</w:t>
      </w:r>
    </w:p>
    <w:p>
      <w:pPr>
        <w:tabs>
          <w:tab w:pos="2674" w:val="left" w:leader="none"/>
        </w:tabs>
        <w:spacing w:line="172" w:lineRule="exact" w:before="0"/>
        <w:ind w:left="107" w:right="0" w:firstLine="0"/>
        <w:jc w:val="left"/>
        <w:rPr>
          <w:rFonts w:ascii="Theinhardt Regular" w:hAnsi="Theinhardt Regular" w:cs="Theinhardt Regular" w:eastAsia="Theinhardt Regular"/>
          <w:sz w:val="14"/>
          <w:szCs w:val="14"/>
        </w:rPr>
      </w:pPr>
      <w:r>
        <w:rPr>
          <w:rFonts w:ascii="Theinhardt Bold" w:hAnsi="Theinhardt Bold"/>
          <w:b/>
          <w:spacing w:val="2"/>
          <w:sz w:val="14"/>
        </w:rPr>
        <w:t>Batteriekapazität:</w:t>
        <w:tab/>
      </w:r>
      <w:r>
        <w:rPr>
          <w:rFonts w:ascii="Theinhardt Regular" w:hAnsi="Theinhardt Regular"/>
          <w:spacing w:val="-2"/>
          <w:sz w:val="14"/>
        </w:rPr>
        <w:t>190</w:t>
      </w:r>
      <w:r>
        <w:rPr>
          <w:rFonts w:ascii="Theinhardt Regular" w:hAnsi="Theinhardt Regular"/>
          <w:sz w:val="14"/>
        </w:rPr>
        <w:t> </w:t>
      </w:r>
      <w:r>
        <w:rPr>
          <w:rFonts w:ascii="Theinhardt Regular" w:hAnsi="Theinhardt Regular"/>
          <w:spacing w:val="2"/>
          <w:sz w:val="14"/>
        </w:rPr>
        <w:t>kWh</w:t>
      </w:r>
    </w:p>
    <w:p>
      <w:pPr>
        <w:tabs>
          <w:tab w:pos="2096" w:val="left" w:leader="none"/>
          <w:tab w:pos="2801" w:val="left" w:leader="none"/>
        </w:tabs>
        <w:spacing w:line="121" w:lineRule="exact" w:before="35"/>
        <w:ind w:left="107" w:right="0" w:firstLine="0"/>
        <w:jc w:val="left"/>
        <w:rPr>
          <w:rFonts w:ascii="Theinhardt Regular" w:hAnsi="Theinhardt Regular" w:cs="Theinhardt Regular" w:eastAsia="Theinhardt Regular"/>
          <w:sz w:val="14"/>
          <w:szCs w:val="14"/>
        </w:rPr>
      </w:pPr>
      <w:r>
        <w:rPr>
          <w:rFonts w:ascii="Theinhardt Bold"/>
          <w:b/>
          <w:spacing w:val="1"/>
          <w:sz w:val="14"/>
        </w:rPr>
        <w:t>Energieverbrauch/Tag</w:t>
      </w:r>
      <w:r>
        <w:rPr>
          <w:rFonts w:ascii="Theinhardt Bold"/>
          <w:b/>
          <w:sz w:val="14"/>
        </w:rPr>
        <w:t> (8h)</w:t>
        <w:tab/>
      </w:r>
      <w:r>
        <w:rPr>
          <w:rFonts w:ascii="Theinhardt Regular"/>
          <w:spacing w:val="1"/>
          <w:w w:val="95"/>
          <w:sz w:val="14"/>
        </w:rPr>
        <w:t>kWh</w:t>
        <w:tab/>
      </w:r>
      <w:r>
        <w:rPr>
          <w:rFonts w:ascii="Theinhardt Regular"/>
          <w:sz w:val="14"/>
        </w:rPr>
        <w:t>kg CO</w:t>
      </w:r>
    </w:p>
    <w:p>
      <w:pPr>
        <w:spacing w:after="0" w:line="121" w:lineRule="exact"/>
        <w:jc w:val="left"/>
        <w:rPr>
          <w:rFonts w:ascii="Theinhardt Regular" w:hAnsi="Theinhardt Regular" w:cs="Theinhardt Regular" w:eastAsia="Theinhardt Regular"/>
          <w:sz w:val="14"/>
          <w:szCs w:val="14"/>
        </w:rPr>
        <w:sectPr>
          <w:type w:val="continuous"/>
          <w:pgSz w:w="11910" w:h="16840"/>
          <w:pgMar w:top="860" w:bottom="280" w:left="460" w:right="740"/>
          <w:cols w:num="3" w:equalWidth="0">
            <w:col w:w="3453" w:space="119"/>
            <w:col w:w="3453" w:space="110"/>
            <w:col w:w="3575"/>
          </w:cols>
        </w:sectPr>
      </w:pPr>
    </w:p>
    <w:p>
      <w:pPr>
        <w:pStyle w:val="BodyText"/>
        <w:spacing w:line="232" w:lineRule="auto"/>
        <w:ind w:right="0"/>
        <w:jc w:val="both"/>
      </w:pPr>
      <w:r>
        <w:rPr/>
        <w:t>giebedarf</w:t>
      </w:r>
      <w:r>
        <w:rPr>
          <w:spacing w:val="32"/>
        </w:rPr>
        <w:t> </w:t>
      </w:r>
      <w:r>
        <w:rPr/>
        <w:t>des</w:t>
      </w:r>
      <w:r>
        <w:rPr>
          <w:spacing w:val="33"/>
        </w:rPr>
        <w:t> </w:t>
      </w:r>
      <w:r>
        <w:rPr>
          <w:spacing w:val="-1"/>
        </w:rPr>
        <w:t>SUNCAR-Baggers</w:t>
      </w:r>
      <w:r>
        <w:rPr>
          <w:spacing w:val="32"/>
        </w:rPr>
        <w:t> </w:t>
      </w:r>
      <w:r>
        <w:rPr/>
        <w:t>beträgt</w:t>
      </w:r>
      <w:r>
        <w:rPr>
          <w:spacing w:val="24"/>
        </w:rPr>
        <w:t> </w:t>
      </w:r>
      <w:r>
        <w:rPr/>
        <w:t>30’000</w:t>
      </w:r>
      <w:r>
        <w:rPr>
          <w:spacing w:val="43"/>
        </w:rPr>
        <w:t> </w:t>
      </w:r>
      <w:r>
        <w:rPr/>
        <w:t>kWh/a</w:t>
      </w:r>
      <w:r>
        <w:rPr>
          <w:spacing w:val="45"/>
        </w:rPr>
        <w:t> </w:t>
      </w:r>
      <w:r>
        <w:rPr/>
        <w:t>statt</w:t>
      </w:r>
      <w:r>
        <w:rPr>
          <w:spacing w:val="43"/>
        </w:rPr>
        <w:t> </w:t>
      </w:r>
      <w:r>
        <w:rPr/>
        <w:t>150’000</w:t>
      </w:r>
      <w:r>
        <w:rPr>
          <w:spacing w:val="45"/>
        </w:rPr>
        <w:t> </w:t>
      </w:r>
      <w:r>
        <w:rPr/>
        <w:t>kWh/a</w:t>
      </w:r>
      <w:r>
        <w:rPr>
          <w:spacing w:val="44"/>
        </w:rPr>
        <w:t> </w:t>
      </w:r>
      <w:r>
        <w:rPr/>
        <w:t>wie</w:t>
      </w:r>
      <w:r>
        <w:rPr/>
        <w:t> beim</w:t>
      </w:r>
      <w:r>
        <w:rPr>
          <w:spacing w:val="43"/>
        </w:rPr>
        <w:t> </w:t>
      </w:r>
      <w:r>
        <w:rPr/>
        <w:t>Dieselbagger.</w:t>
      </w:r>
      <w:r>
        <w:rPr>
          <w:spacing w:val="44"/>
        </w:rPr>
        <w:t> </w:t>
      </w:r>
      <w:r>
        <w:rPr/>
        <w:t>Ein</w:t>
      </w:r>
      <w:r>
        <w:rPr>
          <w:spacing w:val="43"/>
        </w:rPr>
        <w:t> </w:t>
      </w:r>
      <w:r>
        <w:rPr>
          <w:spacing w:val="-2"/>
        </w:rPr>
        <w:t>Prozent</w:t>
      </w:r>
      <w:r>
        <w:rPr>
          <w:spacing w:val="44"/>
        </w:rPr>
        <w:t> </w:t>
      </w:r>
      <w:r>
        <w:rPr/>
        <w:t>der</w:t>
      </w:r>
      <w:r>
        <w:rPr>
          <w:spacing w:val="44"/>
        </w:rPr>
        <w:t> </w:t>
      </w:r>
      <w:r>
        <w:rPr/>
        <w:t>jähr-</w:t>
      </w:r>
      <w:r>
        <w:rPr>
          <w:spacing w:val="24"/>
        </w:rPr>
        <w:t> </w:t>
      </w:r>
      <w:r>
        <w:rPr/>
        <w:t>lich</w:t>
      </w:r>
      <w:r>
        <w:rPr>
          <w:spacing w:val="12"/>
        </w:rPr>
        <w:t> </w:t>
      </w:r>
      <w:r>
        <w:rPr/>
        <w:t>erzeugten</w:t>
      </w:r>
      <w:r>
        <w:rPr>
          <w:spacing w:val="12"/>
        </w:rPr>
        <w:t> </w:t>
      </w:r>
      <w:r>
        <w:rPr/>
        <w:t>3.2</w:t>
      </w:r>
      <w:r>
        <w:rPr>
          <w:spacing w:val="12"/>
        </w:rPr>
        <w:t> </w:t>
      </w:r>
      <w:r>
        <w:rPr/>
        <w:t>GWh</w:t>
      </w:r>
      <w:r>
        <w:rPr>
          <w:spacing w:val="12"/>
        </w:rPr>
        <w:t> </w:t>
      </w:r>
      <w:r>
        <w:rPr/>
        <w:t>Solarstrom</w:t>
      </w:r>
      <w:r>
        <w:rPr>
          <w:spacing w:val="12"/>
        </w:rPr>
        <w:t> </w:t>
      </w:r>
      <w:r>
        <w:rPr/>
        <w:t>der</w:t>
      </w:r>
      <w:r>
        <w:rPr>
          <w:spacing w:val="12"/>
        </w:rPr>
        <w:t> </w:t>
      </w:r>
      <w:r>
        <w:rPr/>
        <w:t>Af-</w:t>
      </w:r>
      <w:r>
        <w:rPr/>
        <w:t> fentranger</w:t>
      </w:r>
      <w:r>
        <w:rPr>
          <w:spacing w:val="20"/>
        </w:rPr>
        <w:t> </w:t>
      </w:r>
      <w:r>
        <w:rPr/>
        <w:t>Bau</w:t>
      </w:r>
      <w:r>
        <w:rPr>
          <w:spacing w:val="20"/>
        </w:rPr>
        <w:t> </w:t>
      </w:r>
      <w:r>
        <w:rPr/>
        <w:t>AG</w:t>
      </w:r>
      <w:r>
        <w:rPr>
          <w:spacing w:val="20"/>
        </w:rPr>
        <w:t> </w:t>
      </w:r>
      <w:r>
        <w:rPr/>
        <w:t>und</w:t>
      </w:r>
      <w:r>
        <w:rPr>
          <w:spacing w:val="20"/>
        </w:rPr>
        <w:t> </w:t>
      </w:r>
      <w:r>
        <w:rPr/>
        <w:t>M.</w:t>
      </w:r>
      <w:r>
        <w:rPr>
          <w:spacing w:val="20"/>
        </w:rPr>
        <w:t> </w:t>
      </w:r>
      <w:r>
        <w:rPr/>
        <w:t>Bösigers</w:t>
      </w:r>
      <w:r>
        <w:rPr>
          <w:spacing w:val="20"/>
        </w:rPr>
        <w:t> </w:t>
      </w:r>
      <w:r>
        <w:rPr/>
        <w:t>Swiss</w:t>
      </w:r>
      <w:r>
        <w:rPr/>
        <w:t> Cleantech</w:t>
      </w:r>
      <w:r>
        <w:rPr>
          <w:spacing w:val="20"/>
        </w:rPr>
        <w:t> </w:t>
      </w:r>
      <w:r>
        <w:rPr/>
        <w:t>reichen,</w:t>
      </w:r>
      <w:r>
        <w:rPr>
          <w:spacing w:val="20"/>
        </w:rPr>
        <w:t> </w:t>
      </w:r>
      <w:r>
        <w:rPr/>
        <w:t>um</w:t>
      </w:r>
      <w:r>
        <w:rPr>
          <w:spacing w:val="20"/>
        </w:rPr>
        <w:t> </w:t>
      </w:r>
      <w:r>
        <w:rPr/>
        <w:t>den</w:t>
      </w:r>
      <w:r>
        <w:rPr>
          <w:spacing w:val="20"/>
        </w:rPr>
        <w:t> </w:t>
      </w:r>
      <w:r>
        <w:rPr/>
        <w:t>Solarbagger</w:t>
      </w:r>
      <w:r>
        <w:rPr/>
        <w:t> anzutreiben.</w:t>
      </w:r>
    </w:p>
    <w:p>
      <w:pPr>
        <w:pStyle w:val="BodyText"/>
        <w:spacing w:line="222" w:lineRule="auto" w:before="7"/>
        <w:ind w:right="0" w:firstLine="226"/>
        <w:jc w:val="both"/>
      </w:pPr>
      <w:r>
        <w:rPr/>
        <w:t>Bis</w:t>
      </w:r>
      <w:r>
        <w:rPr>
          <w:spacing w:val="35"/>
        </w:rPr>
        <w:t> </w:t>
      </w:r>
      <w:r>
        <w:rPr/>
        <w:t>heute</w:t>
      </w:r>
      <w:r>
        <w:rPr>
          <w:spacing w:val="35"/>
        </w:rPr>
        <w:t> </w:t>
      </w:r>
      <w:r>
        <w:rPr/>
        <w:t>standen</w:t>
      </w:r>
      <w:r>
        <w:rPr>
          <w:spacing w:val="35"/>
        </w:rPr>
        <w:t> </w:t>
      </w:r>
      <w:r>
        <w:rPr/>
        <w:t>die</w:t>
      </w:r>
      <w:r>
        <w:rPr>
          <w:spacing w:val="35"/>
        </w:rPr>
        <w:t> </w:t>
      </w:r>
      <w:r>
        <w:rPr/>
        <w:t>CO</w:t>
      </w:r>
      <w:r>
        <w:rPr>
          <w:position w:val="-5"/>
          <w:sz w:val="10"/>
        </w:rPr>
        <w:t>2</w:t>
      </w:r>
      <w:r>
        <w:rPr/>
        <w:t>-Emissionen</w:t>
      </w:r>
      <w:r>
        <w:rPr/>
        <w:t> des</w:t>
      </w:r>
      <w:r>
        <w:rPr>
          <w:spacing w:val="44"/>
        </w:rPr>
        <w:t> </w:t>
      </w:r>
      <w:r>
        <w:rPr/>
        <w:t>Autoverkehrs</w:t>
      </w:r>
      <w:r>
        <w:rPr>
          <w:spacing w:val="45"/>
        </w:rPr>
        <w:t> </w:t>
      </w:r>
      <w:r>
        <w:rPr/>
        <w:t>in</w:t>
      </w:r>
      <w:r>
        <w:rPr>
          <w:spacing w:val="44"/>
        </w:rPr>
        <w:t> </w:t>
      </w:r>
      <w:r>
        <w:rPr/>
        <w:t>der</w:t>
      </w:r>
      <w:r>
        <w:rPr>
          <w:spacing w:val="45"/>
        </w:rPr>
        <w:t> </w:t>
      </w:r>
      <w:r>
        <w:rPr/>
        <w:t>Kritik,</w:t>
      </w:r>
      <w:r>
        <w:rPr>
          <w:spacing w:val="45"/>
        </w:rPr>
        <w:t> </w:t>
      </w:r>
      <w:r>
        <w:rPr/>
        <w:t>kaum</w:t>
      </w:r>
      <w:r>
        <w:rPr>
          <w:spacing w:val="44"/>
        </w:rPr>
        <w:t> </w:t>
      </w:r>
      <w:r>
        <w:rPr/>
        <w:t>die</w:t>
      </w:r>
      <w:r>
        <w:rPr/>
        <w:t> schweren</w:t>
      </w:r>
      <w:r>
        <w:rPr>
          <w:spacing w:val="-3"/>
        </w:rPr>
        <w:t> </w:t>
      </w:r>
      <w:r>
        <w:rPr/>
        <w:t>Baumaschinen.</w:t>
      </w:r>
      <w:r>
        <w:rPr>
          <w:spacing w:val="-3"/>
        </w:rPr>
        <w:t> </w:t>
      </w:r>
      <w:r>
        <w:rPr/>
        <w:t>Mit</w:t>
      </w:r>
      <w:r>
        <w:rPr>
          <w:spacing w:val="-3"/>
        </w:rPr>
        <w:t> </w:t>
      </w:r>
      <w:r>
        <w:rPr/>
        <w:t>Affentrangers</w:t>
      </w:r>
      <w:r>
        <w:rPr/>
        <w:t> CO</w:t>
      </w:r>
      <w:r>
        <w:rPr>
          <w:position w:val="-5"/>
          <w:sz w:val="10"/>
        </w:rPr>
        <w:t>2</w:t>
      </w:r>
      <w:r>
        <w:rPr/>
        <w:t>-frei</w:t>
      </w:r>
      <w:r>
        <w:rPr>
          <w:spacing w:val="24"/>
        </w:rPr>
        <w:t> </w:t>
      </w:r>
      <w:r>
        <w:rPr/>
        <w:t>funktionierendem</w:t>
      </w:r>
      <w:r>
        <w:rPr>
          <w:spacing w:val="24"/>
        </w:rPr>
        <w:t> </w:t>
      </w:r>
      <w:r>
        <w:rPr/>
        <w:t>Solarbagger</w:t>
      </w:r>
      <w:r>
        <w:rPr/>
        <w:t> startet</w:t>
      </w:r>
      <w:r>
        <w:rPr>
          <w:spacing w:val="13"/>
        </w:rPr>
        <w:t> </w:t>
      </w:r>
      <w:r>
        <w:rPr/>
        <w:t>die</w:t>
      </w:r>
      <w:r>
        <w:rPr>
          <w:spacing w:val="13"/>
        </w:rPr>
        <w:t> </w:t>
      </w:r>
      <w:r>
        <w:rPr/>
        <w:t>Baubranche</w:t>
      </w:r>
      <w:r>
        <w:rPr>
          <w:spacing w:val="13"/>
        </w:rPr>
        <w:t> </w:t>
      </w:r>
      <w:r>
        <w:rPr/>
        <w:t>eine</w:t>
      </w:r>
      <w:r>
        <w:rPr>
          <w:spacing w:val="13"/>
        </w:rPr>
        <w:t> </w:t>
      </w:r>
      <w:r>
        <w:rPr/>
        <w:t>neue,</w:t>
      </w:r>
      <w:r>
        <w:rPr>
          <w:spacing w:val="13"/>
        </w:rPr>
        <w:t> </w:t>
      </w:r>
      <w:r>
        <w:rPr/>
        <w:t>umwelt-</w:t>
      </w:r>
      <w:r>
        <w:rPr/>
        <w:t> freundlichere</w:t>
      </w:r>
      <w:r>
        <w:rPr>
          <w:spacing w:val="19"/>
        </w:rPr>
        <w:t> </w:t>
      </w:r>
      <w:r>
        <w:rPr/>
        <w:t>und</w:t>
      </w:r>
      <w:r>
        <w:rPr>
          <w:spacing w:val="19"/>
        </w:rPr>
        <w:t> </w:t>
      </w:r>
      <w:r>
        <w:rPr/>
        <w:t>emissionsärmere</w:t>
      </w:r>
      <w:r>
        <w:rPr>
          <w:spacing w:val="19"/>
        </w:rPr>
        <w:t> </w:t>
      </w:r>
      <w:r>
        <w:rPr/>
        <w:t>Epo-</w:t>
      </w:r>
      <w:r>
        <w:rPr/>
        <w:t> che.</w:t>
      </w:r>
    </w:p>
    <w:p>
      <w:pPr>
        <w:pStyle w:val="BodyText"/>
        <w:spacing w:line="228" w:lineRule="auto" w:before="5"/>
        <w:ind w:right="0" w:firstLine="226"/>
        <w:jc w:val="both"/>
      </w:pPr>
      <w:r>
        <w:rPr/>
        <w:t>Die</w:t>
      </w:r>
      <w:r>
        <w:rPr>
          <w:spacing w:val="48"/>
        </w:rPr>
        <w:t> </w:t>
      </w:r>
      <w:r>
        <w:rPr/>
        <w:t>Investitionskosten  für  den Elektro-</w:t>
      </w:r>
      <w:r>
        <w:rPr/>
        <w:t> bagger</w:t>
      </w:r>
      <w:r>
        <w:rPr>
          <w:spacing w:val="16"/>
        </w:rPr>
        <w:t> </w:t>
      </w:r>
      <w:r>
        <w:rPr/>
        <w:t>sind</w:t>
      </w:r>
      <w:r>
        <w:rPr>
          <w:spacing w:val="16"/>
        </w:rPr>
        <w:t> </w:t>
      </w:r>
      <w:r>
        <w:rPr/>
        <w:t>wohl</w:t>
      </w:r>
      <w:r>
        <w:rPr>
          <w:spacing w:val="16"/>
        </w:rPr>
        <w:t> </w:t>
      </w:r>
      <w:r>
        <w:rPr/>
        <w:t>doppelt</w:t>
      </w:r>
      <w:r>
        <w:rPr>
          <w:spacing w:val="16"/>
        </w:rPr>
        <w:t> </w:t>
      </w:r>
      <w:r>
        <w:rPr/>
        <w:t>so</w:t>
      </w:r>
      <w:r>
        <w:rPr>
          <w:spacing w:val="16"/>
        </w:rPr>
        <w:t> </w:t>
      </w:r>
      <w:r>
        <w:rPr/>
        <w:t>hoch</w:t>
      </w:r>
      <w:r>
        <w:rPr>
          <w:spacing w:val="16"/>
        </w:rPr>
        <w:t> </w:t>
      </w:r>
      <w:r>
        <w:rPr/>
        <w:t>wie</w:t>
      </w:r>
      <w:r>
        <w:rPr>
          <w:spacing w:val="16"/>
        </w:rPr>
        <w:t> </w:t>
      </w:r>
      <w:r>
        <w:rPr/>
        <w:t>bei</w:t>
      </w:r>
      <w:r>
        <w:rPr/>
        <w:t> einem</w:t>
      </w:r>
      <w:r>
        <w:rPr>
          <w:spacing w:val="34"/>
        </w:rPr>
        <w:t> </w:t>
      </w:r>
      <w:r>
        <w:rPr/>
        <w:t>Dieselbagger,</w:t>
      </w:r>
      <w:r>
        <w:rPr>
          <w:spacing w:val="23"/>
        </w:rPr>
        <w:t> </w:t>
      </w:r>
      <w:r>
        <w:rPr/>
        <w:t>dafür</w:t>
      </w:r>
      <w:r>
        <w:rPr>
          <w:spacing w:val="35"/>
        </w:rPr>
        <w:t> </w:t>
      </w:r>
      <w:r>
        <w:rPr/>
        <w:t>sind</w:t>
      </w:r>
      <w:r>
        <w:rPr>
          <w:spacing w:val="34"/>
        </w:rPr>
        <w:t> </w:t>
      </w:r>
      <w:r>
        <w:rPr/>
        <w:t>die</w:t>
      </w:r>
      <w:r>
        <w:rPr>
          <w:spacing w:val="35"/>
        </w:rPr>
        <w:t> </w:t>
      </w:r>
      <w:r>
        <w:rPr/>
        <w:t>jährli-</w:t>
      </w:r>
      <w:r>
        <w:rPr/>
        <w:t> chen</w:t>
      </w:r>
      <w:r>
        <w:rPr>
          <w:spacing w:val="31"/>
        </w:rPr>
        <w:t> </w:t>
      </w:r>
      <w:r>
        <w:rPr/>
        <w:t>Treibstoffkosten</w:t>
      </w:r>
      <w:r>
        <w:rPr>
          <w:spacing w:val="32"/>
        </w:rPr>
        <w:t> </w:t>
      </w:r>
      <w:r>
        <w:rPr/>
        <w:t>um</w:t>
      </w:r>
      <w:r>
        <w:rPr>
          <w:spacing w:val="31"/>
        </w:rPr>
        <w:t> </w:t>
      </w:r>
      <w:r>
        <w:rPr/>
        <w:t>21’000</w:t>
      </w:r>
      <w:r>
        <w:rPr>
          <w:spacing w:val="32"/>
        </w:rPr>
        <w:t> </w:t>
      </w:r>
      <w:r>
        <w:rPr/>
        <w:t>Fr.</w:t>
      </w:r>
      <w:r>
        <w:rPr>
          <w:spacing w:val="32"/>
        </w:rPr>
        <w:t> </w:t>
      </w:r>
      <w:r>
        <w:rPr/>
        <w:t>und</w:t>
      </w:r>
      <w:r>
        <w:rPr/>
        <w:t> die</w:t>
      </w:r>
      <w:r>
        <w:rPr>
          <w:spacing w:val="32"/>
        </w:rPr>
        <w:t> </w:t>
      </w:r>
      <w:r>
        <w:rPr/>
        <w:t>Wartungskosten</w:t>
      </w:r>
      <w:r>
        <w:rPr>
          <w:spacing w:val="33"/>
        </w:rPr>
        <w:t> </w:t>
      </w:r>
      <w:r>
        <w:rPr/>
        <w:t>um</w:t>
      </w:r>
      <w:r>
        <w:rPr>
          <w:spacing w:val="32"/>
        </w:rPr>
        <w:t> </w:t>
      </w:r>
      <w:r>
        <w:rPr/>
        <w:t>2’000</w:t>
      </w:r>
      <w:r>
        <w:rPr>
          <w:spacing w:val="33"/>
        </w:rPr>
        <w:t> </w:t>
      </w:r>
      <w:r>
        <w:rPr/>
        <w:t>Fr.</w:t>
      </w:r>
      <w:r>
        <w:rPr>
          <w:spacing w:val="33"/>
        </w:rPr>
        <w:t> </w:t>
      </w:r>
      <w:r>
        <w:rPr/>
        <w:t>günsti-</w:t>
      </w:r>
      <w:r>
        <w:rPr/>
        <w:t> ger.</w:t>
      </w:r>
      <w:r>
        <w:rPr>
          <w:spacing w:val="24"/>
        </w:rPr>
        <w:t> </w:t>
      </w:r>
      <w:r>
        <w:rPr/>
        <w:t>Der</w:t>
      </w:r>
      <w:r>
        <w:rPr>
          <w:spacing w:val="24"/>
        </w:rPr>
        <w:t> </w:t>
      </w:r>
      <w:r>
        <w:rPr/>
        <w:t>Solarbagger</w:t>
      </w:r>
      <w:r>
        <w:rPr>
          <w:spacing w:val="24"/>
        </w:rPr>
        <w:t> </w:t>
      </w:r>
      <w:r>
        <w:rPr/>
        <w:t>ist</w:t>
      </w:r>
      <w:r>
        <w:rPr>
          <w:spacing w:val="47"/>
        </w:rPr>
        <w:t> </w:t>
      </w:r>
      <w:r>
        <w:rPr/>
        <w:t>nach</w:t>
      </w:r>
      <w:r>
        <w:rPr>
          <w:spacing w:val="24"/>
        </w:rPr>
        <w:t> </w:t>
      </w:r>
      <w:r>
        <w:rPr/>
        <w:t>8.5</w:t>
      </w:r>
      <w:r>
        <w:rPr>
          <w:spacing w:val="24"/>
        </w:rPr>
        <w:t> </w:t>
      </w:r>
      <w:r>
        <w:rPr/>
        <w:t>Jahren</w:t>
      </w:r>
      <w:r>
        <w:rPr/>
        <w:t> amortisiert</w:t>
      </w:r>
      <w:r>
        <w:rPr>
          <w:spacing w:val="19"/>
        </w:rPr>
        <w:t> </w:t>
      </w:r>
      <w:r>
        <w:rPr/>
        <w:t>und</w:t>
      </w:r>
      <w:r>
        <w:rPr>
          <w:spacing w:val="19"/>
        </w:rPr>
        <w:t> </w:t>
      </w:r>
      <w:r>
        <w:rPr/>
        <w:t>emittiert</w:t>
      </w:r>
      <w:r>
        <w:rPr>
          <w:spacing w:val="20"/>
        </w:rPr>
        <w:t> </w:t>
      </w:r>
      <w:r>
        <w:rPr/>
        <w:t>40</w:t>
      </w:r>
      <w:r>
        <w:rPr>
          <w:spacing w:val="19"/>
        </w:rPr>
        <w:t> </w:t>
      </w:r>
      <w:r>
        <w:rPr/>
        <w:t>t</w:t>
      </w:r>
      <w:r>
        <w:rPr>
          <w:spacing w:val="19"/>
        </w:rPr>
        <w:t> </w:t>
      </w:r>
      <w:r>
        <w:rPr>
          <w:spacing w:val="-1"/>
        </w:rPr>
        <w:t>CO</w:t>
      </w:r>
      <w:r>
        <w:rPr>
          <w:spacing w:val="-1"/>
          <w:position w:val="-5"/>
          <w:sz w:val="10"/>
          <w:szCs w:val="10"/>
        </w:rPr>
        <w:t>2</w:t>
      </w:r>
      <w:r>
        <w:rPr>
          <w:spacing w:val="14"/>
          <w:position w:val="-5"/>
          <w:sz w:val="10"/>
          <w:szCs w:val="10"/>
        </w:rPr>
        <w:t> </w:t>
      </w:r>
      <w:r>
        <w:rPr/>
        <w:t>weniger</w:t>
      </w:r>
      <w:r>
        <w:rPr>
          <w:spacing w:val="22"/>
        </w:rPr>
        <w:t> </w:t>
      </w:r>
      <w:r>
        <w:rPr/>
        <w:t>pro</w:t>
      </w:r>
      <w:r>
        <w:rPr>
          <w:spacing w:val="-13"/>
        </w:rPr>
        <w:t> </w:t>
      </w:r>
      <w:r>
        <w:rPr/>
        <w:t>Jahr</w:t>
      </w:r>
      <w:r>
        <w:rPr>
          <w:spacing w:val="-13"/>
        </w:rPr>
        <w:t> </w:t>
      </w:r>
      <w:r>
        <w:rPr/>
        <w:t>als</w:t>
      </w:r>
      <w:r>
        <w:rPr>
          <w:spacing w:val="-13"/>
        </w:rPr>
        <w:t> </w:t>
      </w:r>
      <w:r>
        <w:rPr/>
        <w:t>ein</w:t>
      </w:r>
      <w:r>
        <w:rPr>
          <w:spacing w:val="-13"/>
        </w:rPr>
        <w:t> </w:t>
      </w:r>
      <w:r>
        <w:rPr/>
        <w:t>Dieselbagger.</w:t>
      </w:r>
      <w:r>
        <w:rPr>
          <w:spacing w:val="-13"/>
        </w:rPr>
        <w:t> </w:t>
      </w:r>
      <w:r>
        <w:rPr/>
        <w:t>Die</w:t>
      </w:r>
      <w:r>
        <w:rPr>
          <w:spacing w:val="-13"/>
        </w:rPr>
        <w:t> </w:t>
      </w:r>
      <w:r>
        <w:rPr/>
        <w:t>im</w:t>
      </w:r>
      <w:r>
        <w:rPr>
          <w:spacing w:val="-13"/>
        </w:rPr>
        <w:t> </w:t>
      </w:r>
      <w:r>
        <w:rPr/>
        <w:t>Bagger</w:t>
      </w:r>
    </w:p>
    <w:p>
      <w:pPr>
        <w:pStyle w:val="BodyText"/>
        <w:spacing w:line="232" w:lineRule="auto" w:before="1"/>
        <w:ind w:right="0"/>
        <w:jc w:val="both"/>
      </w:pPr>
      <w:r>
        <w:rPr/>
        <w:t>integrierten</w:t>
      </w:r>
      <w:r>
        <w:rPr>
          <w:spacing w:val="7"/>
        </w:rPr>
        <w:t> </w:t>
      </w:r>
      <w:r>
        <w:rPr/>
        <w:t>Batterien</w:t>
      </w:r>
      <w:r>
        <w:rPr>
          <w:spacing w:val="7"/>
        </w:rPr>
        <w:t> </w:t>
      </w:r>
      <w:r>
        <w:rPr/>
        <w:t>können</w:t>
      </w:r>
      <w:r>
        <w:rPr>
          <w:spacing w:val="7"/>
        </w:rPr>
        <w:t> </w:t>
      </w:r>
      <w:r>
        <w:rPr/>
        <w:t>gewechselt</w:t>
      </w:r>
      <w:r>
        <w:rPr/>
        <w:t> werden</w:t>
      </w:r>
      <w:r>
        <w:rPr>
          <w:spacing w:val="8"/>
        </w:rPr>
        <w:t> </w:t>
      </w:r>
      <w:r>
        <w:rPr/>
        <w:t>und</w:t>
      </w:r>
      <w:r>
        <w:rPr>
          <w:spacing w:val="8"/>
        </w:rPr>
        <w:t> </w:t>
      </w:r>
      <w:r>
        <w:rPr/>
        <w:t>garantieren</w:t>
      </w:r>
      <w:r>
        <w:rPr>
          <w:spacing w:val="8"/>
        </w:rPr>
        <w:t> </w:t>
      </w:r>
      <w:r>
        <w:rPr/>
        <w:t>eine</w:t>
      </w:r>
      <w:r>
        <w:rPr>
          <w:spacing w:val="8"/>
        </w:rPr>
        <w:t> </w:t>
      </w:r>
      <w:r>
        <w:rPr/>
        <w:t>Kapazität</w:t>
      </w:r>
      <w:r>
        <w:rPr>
          <w:spacing w:val="8"/>
        </w:rPr>
        <w:t> </w:t>
      </w:r>
      <w:r>
        <w:rPr/>
        <w:t>von</w:t>
      </w:r>
      <w:r>
        <w:rPr/>
        <w:t> 190</w:t>
      </w:r>
      <w:r>
        <w:rPr>
          <w:spacing w:val="8"/>
        </w:rPr>
        <w:t> </w:t>
      </w:r>
      <w:r>
        <w:rPr/>
        <w:t>kWh/d.</w:t>
      </w:r>
      <w:r>
        <w:rPr>
          <w:spacing w:val="8"/>
        </w:rPr>
        <w:t> </w:t>
      </w:r>
      <w:r>
        <w:rPr/>
        <w:t>Damit</w:t>
      </w:r>
      <w:r>
        <w:rPr>
          <w:spacing w:val="8"/>
        </w:rPr>
        <w:t> </w:t>
      </w:r>
      <w:r>
        <w:rPr/>
        <w:t>läuft</w:t>
      </w:r>
      <w:r>
        <w:rPr>
          <w:spacing w:val="8"/>
        </w:rPr>
        <w:t> </w:t>
      </w:r>
      <w:r>
        <w:rPr/>
        <w:t>der</w:t>
      </w:r>
      <w:r>
        <w:rPr>
          <w:spacing w:val="8"/>
        </w:rPr>
        <w:t> </w:t>
      </w:r>
      <w:r>
        <w:rPr/>
        <w:t>Bagger</w:t>
      </w:r>
      <w:r>
        <w:rPr>
          <w:spacing w:val="8"/>
        </w:rPr>
        <w:t> </w:t>
      </w:r>
      <w:r>
        <w:rPr/>
        <w:t>täglich</w:t>
      </w:r>
      <w:r>
        <w:rPr/>
        <w:t> neun Stunden.</w:t>
      </w:r>
    </w:p>
    <w:p>
      <w:pPr>
        <w:pStyle w:val="BodyText"/>
        <w:spacing w:line="232" w:lineRule="auto"/>
        <w:ind w:right="0" w:firstLine="226"/>
        <w:jc w:val="both"/>
      </w:pPr>
      <w:r>
        <w:rPr/>
        <w:t>Die</w:t>
      </w:r>
      <w:r>
        <w:rPr>
          <w:spacing w:val="5"/>
        </w:rPr>
        <w:t> </w:t>
      </w:r>
      <w:r>
        <w:rPr/>
        <w:t>PV-Strom-Nutzung</w:t>
      </w:r>
      <w:r>
        <w:rPr>
          <w:spacing w:val="5"/>
        </w:rPr>
        <w:t> </w:t>
      </w:r>
      <w:r>
        <w:rPr/>
        <w:t>in</w:t>
      </w:r>
      <w:r>
        <w:rPr>
          <w:spacing w:val="5"/>
        </w:rPr>
        <w:t> </w:t>
      </w:r>
      <w:r>
        <w:rPr/>
        <w:t>Kombination</w:t>
      </w:r>
      <w:r>
        <w:rPr/>
        <w:t> mit</w:t>
      </w:r>
      <w:r>
        <w:rPr>
          <w:spacing w:val="-9"/>
        </w:rPr>
        <w:t> </w:t>
      </w:r>
      <w:r>
        <w:rPr/>
        <w:t>Elektromobilität</w:t>
      </w:r>
      <w:r>
        <w:rPr>
          <w:spacing w:val="-9"/>
        </w:rPr>
        <w:t> </w:t>
      </w:r>
      <w:r>
        <w:rPr/>
        <w:t>im</w:t>
      </w:r>
      <w:r>
        <w:rPr>
          <w:spacing w:val="-9"/>
        </w:rPr>
        <w:t> </w:t>
      </w:r>
      <w:r>
        <w:rPr/>
        <w:t>Bausektor</w:t>
      </w:r>
      <w:r>
        <w:rPr>
          <w:spacing w:val="-9"/>
        </w:rPr>
        <w:t> </w:t>
      </w:r>
      <w:r>
        <w:rPr/>
        <w:t>ist</w:t>
      </w:r>
      <w:r>
        <w:rPr>
          <w:spacing w:val="-9"/>
        </w:rPr>
        <w:t> </w:t>
      </w:r>
      <w:r>
        <w:rPr/>
        <w:t>innova-</w:t>
      </w:r>
      <w:r>
        <w:rPr/>
        <w:t> tiv</w:t>
      </w:r>
      <w:r>
        <w:rPr>
          <w:spacing w:val="-14"/>
        </w:rPr>
        <w:t> </w:t>
      </w:r>
      <w:r>
        <w:rPr/>
        <w:t>und</w:t>
      </w:r>
      <w:r>
        <w:rPr>
          <w:spacing w:val="-14"/>
        </w:rPr>
        <w:t> </w:t>
      </w:r>
      <w:r>
        <w:rPr/>
        <w:t>europa-</w:t>
      </w:r>
      <w:r>
        <w:rPr>
          <w:spacing w:val="-14"/>
        </w:rPr>
        <w:t> </w:t>
      </w:r>
      <w:r>
        <w:rPr/>
        <w:t>und</w:t>
      </w:r>
      <w:r>
        <w:rPr>
          <w:spacing w:val="-14"/>
        </w:rPr>
        <w:t> </w:t>
      </w:r>
      <w:r>
        <w:rPr/>
        <w:t>weltweit</w:t>
      </w:r>
      <w:r>
        <w:rPr>
          <w:spacing w:val="-14"/>
        </w:rPr>
        <w:t> </w:t>
      </w:r>
      <w:r>
        <w:rPr/>
        <w:t>einmalig.</w:t>
      </w:r>
      <w:r>
        <w:rPr>
          <w:spacing w:val="-14"/>
        </w:rPr>
        <w:t> </w:t>
      </w:r>
      <w:r>
        <w:rPr/>
        <w:t>Diese</w:t>
      </w:r>
      <w:r>
        <w:rPr/>
        <w:t> Branchenstrategie</w:t>
      </w:r>
      <w:r>
        <w:rPr>
          <w:spacing w:val="22"/>
        </w:rPr>
        <w:t> </w:t>
      </w:r>
      <w:r>
        <w:rPr/>
        <w:t>weist</w:t>
      </w:r>
      <w:r>
        <w:rPr>
          <w:spacing w:val="22"/>
        </w:rPr>
        <w:t> </w:t>
      </w:r>
      <w:r>
        <w:rPr/>
        <w:t>ökonomische</w:t>
      </w:r>
      <w:r>
        <w:rPr>
          <w:spacing w:val="22"/>
        </w:rPr>
        <w:t> </w:t>
      </w:r>
      <w:r>
        <w:rPr/>
        <w:t>und</w:t>
      </w:r>
      <w:r>
        <w:rPr/>
        <w:t> klimatische</w:t>
      </w:r>
      <w:r>
        <w:rPr>
          <w:spacing w:val="14"/>
        </w:rPr>
        <w:t> </w:t>
      </w:r>
      <w:r>
        <w:rPr/>
        <w:t>Vorteile</w:t>
      </w:r>
      <w:r>
        <w:rPr>
          <w:spacing w:val="14"/>
        </w:rPr>
        <w:t> </w:t>
      </w:r>
      <w:r>
        <w:rPr/>
        <w:t>mit</w:t>
      </w:r>
      <w:r>
        <w:rPr>
          <w:spacing w:val="14"/>
        </w:rPr>
        <w:t> </w:t>
      </w:r>
      <w:r>
        <w:rPr/>
        <w:t>erheblichem</w:t>
      </w:r>
      <w:r>
        <w:rPr>
          <w:spacing w:val="14"/>
        </w:rPr>
        <w:t> </w:t>
      </w:r>
      <w:r>
        <w:rPr/>
        <w:t>Zu-</w:t>
      </w:r>
      <w:r>
        <w:rPr/>
        <w:t> kunftspotential</w:t>
      </w:r>
      <w:r>
        <w:rPr>
          <w:spacing w:val="22"/>
        </w:rPr>
        <w:t> </w:t>
      </w:r>
      <w:r>
        <w:rPr/>
        <w:t>auf.</w:t>
      </w:r>
      <w:r>
        <w:rPr>
          <w:spacing w:val="22"/>
        </w:rPr>
        <w:t> </w:t>
      </w:r>
      <w:r>
        <w:rPr/>
        <w:t>Dafür</w:t>
      </w:r>
      <w:r>
        <w:rPr>
          <w:spacing w:val="22"/>
        </w:rPr>
        <w:t> </w:t>
      </w:r>
      <w:r>
        <w:rPr/>
        <w:t>erhält</w:t>
      </w:r>
      <w:r>
        <w:rPr>
          <w:spacing w:val="22"/>
        </w:rPr>
        <w:t> </w:t>
      </w:r>
      <w:r>
        <w:rPr/>
        <w:t>der</w:t>
      </w:r>
      <w:r>
        <w:rPr>
          <w:spacing w:val="22"/>
        </w:rPr>
        <w:t> </w:t>
      </w:r>
      <w:r>
        <w:rPr/>
        <w:t>Solar-</w:t>
      </w:r>
      <w:r>
        <w:rPr/>
        <w:t> bagger den Schweizer Solarpreis 2015.</w:t>
      </w:r>
    </w:p>
    <w:p>
      <w:pPr>
        <w:spacing w:line="232" w:lineRule="auto" w:before="0"/>
        <w:ind w:left="106" w:right="0" w:firstLine="0"/>
        <w:jc w:val="right"/>
        <w:rPr>
          <w:rFonts w:ascii="Theinhardt Regular Italic" w:hAnsi="Theinhardt Regular Italic" w:cs="Theinhardt Regular Italic" w:eastAsia="Theinhardt Regular Italic"/>
          <w:sz w:val="18"/>
          <w:szCs w:val="18"/>
        </w:rPr>
      </w:pPr>
      <w:r>
        <w:rPr/>
        <w:br w:type="column"/>
      </w:r>
      <w:r>
        <w:rPr>
          <w:rFonts w:ascii="Theinhardt Regular Italic" w:hAnsi="Theinhardt Regular Italic" w:cs="Theinhardt Regular Italic" w:eastAsia="Theinhardt Regular Italic"/>
          <w:i/>
          <w:sz w:val="18"/>
          <w:szCs w:val="18"/>
        </w:rPr>
        <w:t>Suncar</w:t>
      </w:r>
      <w:r>
        <w:rPr>
          <w:rFonts w:ascii="Theinhardt Regular Italic" w:hAnsi="Theinhardt Regular Italic" w:cs="Theinhardt Regular Italic" w:eastAsia="Theinhardt Regular Italic"/>
          <w:i/>
          <w:spacing w:val="26"/>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27"/>
          <w:sz w:val="18"/>
          <w:szCs w:val="18"/>
        </w:rPr>
        <w:t> </w:t>
      </w:r>
      <w:r>
        <w:rPr>
          <w:rFonts w:ascii="Theinhardt Regular Italic" w:hAnsi="Theinhardt Regular Italic" w:cs="Theinhardt Regular Italic" w:eastAsia="Theinhardt Regular Italic"/>
          <w:i/>
          <w:sz w:val="18"/>
          <w:szCs w:val="18"/>
        </w:rPr>
        <w:t>16</w:t>
      </w:r>
      <w:r>
        <w:rPr>
          <w:rFonts w:ascii="Theinhardt Regular Italic" w:hAnsi="Theinhardt Regular Italic" w:cs="Theinhardt Regular Italic" w:eastAsia="Theinhardt Regular Italic"/>
          <w:i/>
          <w:spacing w:val="26"/>
          <w:sz w:val="18"/>
          <w:szCs w:val="18"/>
        </w:rPr>
        <w:t> </w:t>
      </w:r>
      <w:r>
        <w:rPr>
          <w:rFonts w:ascii="Theinhardt Regular Italic" w:hAnsi="Theinhardt Regular Italic" w:cs="Theinhardt Regular Italic" w:eastAsia="Theinhardt Regular Italic"/>
          <w:i/>
          <w:sz w:val="18"/>
          <w:szCs w:val="18"/>
        </w:rPr>
        <w:t>t</w:t>
      </w:r>
      <w:r>
        <w:rPr>
          <w:rFonts w:ascii="Theinhardt Regular Italic" w:hAnsi="Theinhardt Regular Italic" w:cs="Theinhardt Regular Italic" w:eastAsia="Theinhardt Regular Italic"/>
          <w:i/>
          <w:spacing w:val="27"/>
          <w:sz w:val="18"/>
          <w:szCs w:val="18"/>
        </w:rPr>
        <w:t> </w:t>
      </w:r>
      <w:r>
        <w:rPr>
          <w:rFonts w:ascii="Theinhardt Regular Italic" w:hAnsi="Theinhardt Regular Italic" w:cs="Theinhardt Regular Italic" w:eastAsia="Theinhardt Regular Italic"/>
          <w:i/>
          <w:sz w:val="18"/>
          <w:szCs w:val="18"/>
        </w:rPr>
        <w:t>consomme</w:t>
      </w:r>
      <w:r>
        <w:rPr>
          <w:rFonts w:ascii="Theinhardt Regular Italic" w:hAnsi="Theinhardt Regular Italic" w:cs="Theinhardt Regular Italic" w:eastAsia="Theinhardt Regular Italic"/>
          <w:i/>
          <w:spacing w:val="27"/>
          <w:sz w:val="18"/>
          <w:szCs w:val="18"/>
        </w:rPr>
        <w:t> </w:t>
      </w:r>
      <w:r>
        <w:rPr>
          <w:rFonts w:ascii="Theinhardt Regular Italic" w:hAnsi="Theinhardt Regular Italic" w:cs="Theinhardt Regular Italic" w:eastAsia="Theinhardt Regular Italic"/>
          <w:i/>
          <w:sz w:val="18"/>
          <w:szCs w:val="18"/>
        </w:rPr>
        <w:t>30’000</w:t>
      </w:r>
      <w:r>
        <w:rPr>
          <w:rFonts w:ascii="Theinhardt Regular Italic" w:hAnsi="Theinhardt Regular Italic" w:cs="Theinhardt Regular Italic" w:eastAsia="Theinhardt Regular Italic"/>
          <w:i/>
          <w:spacing w:val="26"/>
          <w:sz w:val="18"/>
          <w:szCs w:val="18"/>
        </w:rPr>
        <w:t> </w:t>
      </w:r>
      <w:r>
        <w:rPr>
          <w:rFonts w:ascii="Theinhardt Regular Italic" w:hAnsi="Theinhardt Regular Italic" w:cs="Theinhardt Regular Italic" w:eastAsia="Theinhardt Regular Italic"/>
          <w:i/>
          <w:sz w:val="18"/>
          <w:szCs w:val="18"/>
        </w:rPr>
        <w:t>kWh/a</w:t>
      </w:r>
      <w:r>
        <w:rPr>
          <w:rFonts w:ascii="Theinhardt Regular Italic" w:hAnsi="Theinhardt Regular Italic" w:cs="Theinhardt Regular Italic" w:eastAsia="Theinhardt Regular Italic"/>
          <w:i/>
          <w:sz w:val="18"/>
          <w:szCs w:val="18"/>
        </w:rPr>
        <w:t> au</w:t>
      </w:r>
      <w:r>
        <w:rPr>
          <w:rFonts w:ascii="Theinhardt Regular Italic" w:hAnsi="Theinhardt Regular Italic" w:cs="Theinhardt Regular Italic" w:eastAsia="Theinhardt Regular Italic"/>
          <w:i/>
          <w:spacing w:val="2"/>
          <w:sz w:val="18"/>
          <w:szCs w:val="18"/>
        </w:rPr>
        <w:t> </w:t>
      </w:r>
      <w:r>
        <w:rPr>
          <w:rFonts w:ascii="Theinhardt Regular Italic" w:hAnsi="Theinhardt Regular Italic" w:cs="Theinhardt Regular Italic" w:eastAsia="Theinhardt Regular Italic"/>
          <w:i/>
          <w:sz w:val="18"/>
          <w:szCs w:val="18"/>
        </w:rPr>
        <w:t>lieu</w:t>
      </w:r>
      <w:r>
        <w:rPr>
          <w:rFonts w:ascii="Theinhardt Regular Italic" w:hAnsi="Theinhardt Regular Italic" w:cs="Theinhardt Regular Italic" w:eastAsia="Theinhardt Regular Italic"/>
          <w:i/>
          <w:spacing w:val="2"/>
          <w:sz w:val="18"/>
          <w:szCs w:val="18"/>
        </w:rPr>
        <w:t> </w:t>
      </w:r>
      <w:r>
        <w:rPr>
          <w:rFonts w:ascii="Theinhardt Regular Italic" w:hAnsi="Theinhardt Regular Italic" w:cs="Theinhardt Regular Italic" w:eastAsia="Theinhardt Regular Italic"/>
          <w:i/>
          <w:sz w:val="18"/>
          <w:szCs w:val="18"/>
        </w:rPr>
        <w:t>des</w:t>
      </w:r>
      <w:r>
        <w:rPr>
          <w:rFonts w:ascii="Theinhardt Regular Italic" w:hAnsi="Theinhardt Regular Italic" w:cs="Theinhardt Regular Italic" w:eastAsia="Theinhardt Regular Italic"/>
          <w:i/>
          <w:spacing w:val="2"/>
          <w:sz w:val="18"/>
          <w:szCs w:val="18"/>
        </w:rPr>
        <w:t> </w:t>
      </w:r>
      <w:r>
        <w:rPr>
          <w:rFonts w:ascii="Theinhardt Regular Italic" w:hAnsi="Theinhardt Regular Italic" w:cs="Theinhardt Regular Italic" w:eastAsia="Theinhardt Regular Italic"/>
          <w:i/>
          <w:sz w:val="18"/>
          <w:szCs w:val="18"/>
        </w:rPr>
        <w:t>150’000</w:t>
      </w:r>
      <w:r>
        <w:rPr>
          <w:rFonts w:ascii="Theinhardt Regular Italic" w:hAnsi="Theinhardt Regular Italic" w:cs="Theinhardt Regular Italic" w:eastAsia="Theinhardt Regular Italic"/>
          <w:i/>
          <w:spacing w:val="2"/>
          <w:sz w:val="18"/>
          <w:szCs w:val="18"/>
        </w:rPr>
        <w:t> </w:t>
      </w:r>
      <w:r>
        <w:rPr>
          <w:rFonts w:ascii="Theinhardt Regular Italic" w:hAnsi="Theinhardt Regular Italic" w:cs="Theinhardt Regular Italic" w:eastAsia="Theinhardt Regular Italic"/>
          <w:i/>
          <w:sz w:val="18"/>
          <w:szCs w:val="18"/>
        </w:rPr>
        <w:t>kWh/a</w:t>
      </w:r>
      <w:r>
        <w:rPr>
          <w:rFonts w:ascii="Theinhardt Regular Italic" w:hAnsi="Theinhardt Regular Italic" w:cs="Theinhardt Regular Italic" w:eastAsia="Theinhardt Regular Italic"/>
          <w:i/>
          <w:spacing w:val="2"/>
          <w:sz w:val="18"/>
          <w:szCs w:val="18"/>
        </w:rPr>
        <w:t> </w:t>
      </w:r>
      <w:r>
        <w:rPr>
          <w:rFonts w:ascii="Theinhardt Regular Italic" w:hAnsi="Theinhardt Regular Italic" w:cs="Theinhardt Regular Italic" w:eastAsia="Theinhardt Regular Italic"/>
          <w:i/>
          <w:sz w:val="18"/>
          <w:szCs w:val="18"/>
        </w:rPr>
        <w:t>d’un</w:t>
      </w:r>
      <w:r>
        <w:rPr>
          <w:rFonts w:ascii="Theinhardt Regular Italic" w:hAnsi="Theinhardt Regular Italic" w:cs="Theinhardt Regular Italic" w:eastAsia="Theinhardt Regular Italic"/>
          <w:i/>
          <w:spacing w:val="2"/>
          <w:sz w:val="18"/>
          <w:szCs w:val="18"/>
        </w:rPr>
        <w:t> </w:t>
      </w:r>
      <w:r>
        <w:rPr>
          <w:rFonts w:ascii="Theinhardt Regular Italic" w:hAnsi="Theinhardt Regular Italic" w:cs="Theinhardt Regular Italic" w:eastAsia="Theinhardt Regular Italic"/>
          <w:i/>
          <w:sz w:val="18"/>
          <w:szCs w:val="18"/>
        </w:rPr>
        <w:t>diesel.</w:t>
      </w:r>
      <w:r>
        <w:rPr>
          <w:rFonts w:ascii="Theinhardt Regular Italic" w:hAnsi="Theinhardt Regular Italic" w:cs="Theinhardt Regular Italic" w:eastAsia="Theinhardt Regular Italic"/>
          <w:i/>
          <w:spacing w:val="2"/>
          <w:sz w:val="18"/>
          <w:szCs w:val="18"/>
        </w:rPr>
        <w:t> </w:t>
      </w:r>
      <w:r>
        <w:rPr>
          <w:rFonts w:ascii="Theinhardt Regular Italic" w:hAnsi="Theinhardt Regular Italic" w:cs="Theinhardt Regular Italic" w:eastAsia="Theinhardt Regular Italic"/>
          <w:i/>
          <w:sz w:val="18"/>
          <w:szCs w:val="18"/>
        </w:rPr>
        <w:t>Sur</w:t>
      </w:r>
      <w:r>
        <w:rPr>
          <w:rFonts w:ascii="Theinhardt Regular Italic" w:hAnsi="Theinhardt Regular Italic" w:cs="Theinhardt Regular Italic" w:eastAsia="Theinhardt Regular Italic"/>
          <w:i/>
          <w:sz w:val="18"/>
          <w:szCs w:val="18"/>
        </w:rPr>
        <w:t> les</w:t>
      </w:r>
      <w:r>
        <w:rPr>
          <w:rFonts w:ascii="Theinhardt Regular Italic" w:hAnsi="Theinhardt Regular Italic" w:cs="Theinhardt Regular Italic" w:eastAsia="Theinhardt Regular Italic"/>
          <w:i/>
          <w:spacing w:val="23"/>
          <w:sz w:val="18"/>
          <w:szCs w:val="18"/>
        </w:rPr>
        <w:t> </w:t>
      </w:r>
      <w:r>
        <w:rPr>
          <w:rFonts w:ascii="Theinhardt Regular Italic" w:hAnsi="Theinhardt Regular Italic" w:cs="Theinhardt Regular Italic" w:eastAsia="Theinhardt Regular Italic"/>
          <w:i/>
          <w:sz w:val="18"/>
          <w:szCs w:val="18"/>
        </w:rPr>
        <w:t>3,2</w:t>
      </w:r>
      <w:r>
        <w:rPr>
          <w:rFonts w:ascii="Theinhardt Regular Italic" w:hAnsi="Theinhardt Regular Italic" w:cs="Theinhardt Regular Italic" w:eastAsia="Theinhardt Regular Italic"/>
          <w:i/>
          <w:spacing w:val="23"/>
          <w:sz w:val="18"/>
          <w:szCs w:val="18"/>
        </w:rPr>
        <w:t> </w:t>
      </w:r>
      <w:r>
        <w:rPr>
          <w:rFonts w:ascii="Theinhardt Regular Italic" w:hAnsi="Theinhardt Regular Italic" w:cs="Theinhardt Regular Italic" w:eastAsia="Theinhardt Regular Italic"/>
          <w:i/>
          <w:sz w:val="18"/>
          <w:szCs w:val="18"/>
        </w:rPr>
        <w:t>GWh/a</w:t>
      </w:r>
      <w:r>
        <w:rPr>
          <w:rFonts w:ascii="Theinhardt Regular Italic" w:hAnsi="Theinhardt Regular Italic" w:cs="Theinhardt Regular Italic" w:eastAsia="Theinhardt Regular Italic"/>
          <w:i/>
          <w:spacing w:val="23"/>
          <w:sz w:val="18"/>
          <w:szCs w:val="18"/>
        </w:rPr>
        <w:t> </w:t>
      </w:r>
      <w:r>
        <w:rPr>
          <w:rFonts w:ascii="Theinhardt Regular Italic" w:hAnsi="Theinhardt Regular Italic" w:cs="Theinhardt Regular Italic" w:eastAsia="Theinhardt Regular Italic"/>
          <w:i/>
          <w:sz w:val="18"/>
          <w:szCs w:val="18"/>
        </w:rPr>
        <w:t>d’autoproduction</w:t>
      </w:r>
      <w:r>
        <w:rPr>
          <w:rFonts w:ascii="Theinhardt Regular Italic" w:hAnsi="Theinhardt Regular Italic" w:cs="Theinhardt Regular Italic" w:eastAsia="Theinhardt Regular Italic"/>
          <w:i/>
          <w:spacing w:val="23"/>
          <w:sz w:val="18"/>
          <w:szCs w:val="18"/>
        </w:rPr>
        <w:t> </w:t>
      </w:r>
      <w:r>
        <w:rPr>
          <w:rFonts w:ascii="Theinhardt Regular Italic" w:hAnsi="Theinhardt Regular Italic" w:cs="Theinhardt Regular Italic" w:eastAsia="Theinhardt Regular Italic"/>
          <w:i/>
          <w:sz w:val="18"/>
          <w:szCs w:val="18"/>
        </w:rPr>
        <w:t>solaire</w:t>
      </w:r>
      <w:r>
        <w:rPr>
          <w:rFonts w:ascii="Theinhardt Regular Italic" w:hAnsi="Theinhardt Regular Italic" w:cs="Theinhardt Regular Italic" w:eastAsia="Theinhardt Regular Italic"/>
          <w:i/>
          <w:spacing w:val="23"/>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z w:val="18"/>
          <w:szCs w:val="18"/>
        </w:rPr>
        <w:t> Affentranger</w:t>
      </w:r>
      <w:r>
        <w:rPr>
          <w:rFonts w:ascii="Theinhardt Regular Italic" w:hAnsi="Theinhardt Regular Italic" w:cs="Theinhardt Regular Italic" w:eastAsia="Theinhardt Regular Italic"/>
          <w:i/>
          <w:spacing w:val="40"/>
          <w:sz w:val="18"/>
          <w:szCs w:val="18"/>
        </w:rPr>
        <w:t> </w:t>
      </w:r>
      <w:r>
        <w:rPr>
          <w:rFonts w:ascii="Theinhardt Regular Italic" w:hAnsi="Theinhardt Regular Italic" w:cs="Theinhardt Regular Italic" w:eastAsia="Theinhardt Regular Italic"/>
          <w:i/>
          <w:sz w:val="18"/>
          <w:szCs w:val="18"/>
        </w:rPr>
        <w:t>Bau</w:t>
      </w:r>
      <w:r>
        <w:rPr>
          <w:rFonts w:ascii="Theinhardt Regular Italic" w:hAnsi="Theinhardt Regular Italic" w:cs="Theinhardt Regular Italic" w:eastAsia="Theinhardt Regular Italic"/>
          <w:i/>
          <w:spacing w:val="41"/>
          <w:sz w:val="18"/>
          <w:szCs w:val="18"/>
        </w:rPr>
        <w:t> </w:t>
      </w:r>
      <w:r>
        <w:rPr>
          <w:rFonts w:ascii="Theinhardt Regular Italic" w:hAnsi="Theinhardt Regular Italic" w:cs="Theinhardt Regular Italic" w:eastAsia="Theinhardt Regular Italic"/>
          <w:i/>
          <w:sz w:val="18"/>
          <w:szCs w:val="18"/>
        </w:rPr>
        <w:t>AG</w:t>
      </w:r>
      <w:r>
        <w:rPr>
          <w:rFonts w:ascii="Theinhardt Regular Italic" w:hAnsi="Theinhardt Regular Italic" w:cs="Theinhardt Regular Italic" w:eastAsia="Theinhardt Regular Italic"/>
          <w:i/>
          <w:spacing w:val="40"/>
          <w:sz w:val="18"/>
          <w:szCs w:val="18"/>
        </w:rPr>
        <w:t> </w:t>
      </w:r>
      <w:r>
        <w:rPr>
          <w:rFonts w:ascii="Theinhardt Regular Italic" w:hAnsi="Theinhardt Regular Italic" w:cs="Theinhardt Regular Italic" w:eastAsia="Theinhardt Regular Italic"/>
          <w:i/>
          <w:sz w:val="18"/>
          <w:szCs w:val="18"/>
        </w:rPr>
        <w:t>et</w:t>
      </w:r>
      <w:r>
        <w:rPr>
          <w:rFonts w:ascii="Theinhardt Regular Italic" w:hAnsi="Theinhardt Regular Italic" w:cs="Theinhardt Regular Italic" w:eastAsia="Theinhardt Regular Italic"/>
          <w:i/>
          <w:spacing w:val="41"/>
          <w:sz w:val="18"/>
          <w:szCs w:val="18"/>
        </w:rPr>
        <w:t> </w:t>
      </w:r>
      <w:r>
        <w:rPr>
          <w:rFonts w:ascii="Theinhardt Regular Italic" w:hAnsi="Theinhardt Regular Italic" w:cs="Theinhardt Regular Italic" w:eastAsia="Theinhardt Regular Italic"/>
          <w:i/>
          <w:sz w:val="18"/>
          <w:szCs w:val="18"/>
        </w:rPr>
        <w:t>M.</w:t>
      </w:r>
      <w:r>
        <w:rPr>
          <w:rFonts w:ascii="Theinhardt Regular Italic" w:hAnsi="Theinhardt Regular Italic" w:cs="Theinhardt Regular Italic" w:eastAsia="Theinhardt Regular Italic"/>
          <w:i/>
          <w:spacing w:val="41"/>
          <w:sz w:val="18"/>
          <w:szCs w:val="18"/>
        </w:rPr>
        <w:t> </w:t>
      </w:r>
      <w:r>
        <w:rPr>
          <w:rFonts w:ascii="Theinhardt Regular Italic" w:hAnsi="Theinhardt Regular Italic" w:cs="Theinhardt Regular Italic" w:eastAsia="Theinhardt Regular Italic"/>
          <w:i/>
          <w:sz w:val="18"/>
          <w:szCs w:val="18"/>
        </w:rPr>
        <w:t>Bösiger</w:t>
      </w:r>
      <w:r>
        <w:rPr>
          <w:rFonts w:ascii="Theinhardt Regular Italic" w:hAnsi="Theinhardt Regular Italic" w:cs="Theinhardt Regular Italic" w:eastAsia="Theinhardt Regular Italic"/>
          <w:i/>
          <w:spacing w:val="40"/>
          <w:sz w:val="18"/>
          <w:szCs w:val="18"/>
        </w:rPr>
        <w:t> </w:t>
      </w:r>
      <w:r>
        <w:rPr>
          <w:rFonts w:ascii="Theinhardt Regular Italic" w:hAnsi="Theinhardt Regular Italic" w:cs="Theinhardt Regular Italic" w:eastAsia="Theinhardt Regular Italic"/>
          <w:i/>
          <w:sz w:val="18"/>
          <w:szCs w:val="18"/>
        </w:rPr>
        <w:t>Swiss</w:t>
      </w:r>
      <w:r>
        <w:rPr>
          <w:rFonts w:ascii="Theinhardt Regular Italic" w:hAnsi="Theinhardt Regular Italic" w:cs="Theinhardt Regular Italic" w:eastAsia="Theinhardt Regular Italic"/>
          <w:i/>
          <w:sz w:val="18"/>
          <w:szCs w:val="18"/>
        </w:rPr>
        <w:t> Cleantech, la pelleteuse en consomme 1%. Contrairement</w:t>
      </w:r>
      <w:r>
        <w:rPr>
          <w:rFonts w:ascii="Theinhardt Regular Italic" w:hAnsi="Theinhardt Regular Italic" w:cs="Theinhardt Regular Italic" w:eastAsia="Theinhardt Regular Italic"/>
          <w:i/>
          <w:spacing w:val="-17"/>
          <w:sz w:val="18"/>
          <w:szCs w:val="18"/>
        </w:rPr>
        <w:t> </w:t>
      </w:r>
      <w:r>
        <w:rPr>
          <w:rFonts w:ascii="Theinhardt Regular Italic" w:hAnsi="Theinhardt Regular Italic" w:cs="Theinhardt Regular Italic" w:eastAsia="Theinhardt Regular Italic"/>
          <w:i/>
          <w:sz w:val="18"/>
          <w:szCs w:val="18"/>
        </w:rPr>
        <w:t>au</w:t>
      </w:r>
      <w:r>
        <w:rPr>
          <w:rFonts w:ascii="Theinhardt Regular Italic" w:hAnsi="Theinhardt Regular Italic" w:cs="Theinhardt Regular Italic" w:eastAsia="Theinhardt Regular Italic"/>
          <w:i/>
          <w:spacing w:val="-17"/>
          <w:sz w:val="18"/>
          <w:szCs w:val="18"/>
        </w:rPr>
        <w:t> </w:t>
      </w:r>
      <w:r>
        <w:rPr>
          <w:rFonts w:ascii="Theinhardt Regular Italic" w:hAnsi="Theinhardt Regular Italic" w:cs="Theinhardt Regular Italic" w:eastAsia="Theinhardt Regular Italic"/>
          <w:i/>
          <w:sz w:val="18"/>
          <w:szCs w:val="18"/>
        </w:rPr>
        <w:t>trafic</w:t>
      </w:r>
      <w:r>
        <w:rPr>
          <w:rFonts w:ascii="Theinhardt Regular Italic" w:hAnsi="Theinhardt Regular Italic" w:cs="Theinhardt Regular Italic" w:eastAsia="Theinhardt Regular Italic"/>
          <w:i/>
          <w:spacing w:val="-17"/>
          <w:sz w:val="18"/>
          <w:szCs w:val="18"/>
        </w:rPr>
        <w:t> </w:t>
      </w:r>
      <w:r>
        <w:rPr>
          <w:rFonts w:ascii="Theinhardt Regular Italic" w:hAnsi="Theinhardt Regular Italic" w:cs="Theinhardt Regular Italic" w:eastAsia="Theinhardt Regular Italic"/>
          <w:i/>
          <w:sz w:val="18"/>
          <w:szCs w:val="18"/>
        </w:rPr>
        <w:t>routier,</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les</w:t>
      </w:r>
      <w:r>
        <w:rPr>
          <w:rFonts w:ascii="Theinhardt Regular Italic" w:hAnsi="Theinhardt Regular Italic" w:cs="Theinhardt Regular Italic" w:eastAsia="Theinhardt Regular Italic"/>
          <w:i/>
          <w:spacing w:val="-17"/>
          <w:sz w:val="18"/>
          <w:szCs w:val="18"/>
        </w:rPr>
        <w:t> </w:t>
      </w:r>
      <w:r>
        <w:rPr>
          <w:rFonts w:ascii="Theinhardt Regular Italic" w:hAnsi="Theinhardt Regular Italic" w:cs="Theinhardt Regular Italic" w:eastAsia="Theinhardt Regular Italic"/>
          <w:i/>
          <w:sz w:val="18"/>
          <w:szCs w:val="18"/>
        </w:rPr>
        <w:t>lourdes</w:t>
      </w:r>
      <w:r>
        <w:rPr>
          <w:rFonts w:ascii="Theinhardt Regular Italic" w:hAnsi="Theinhardt Regular Italic" w:cs="Theinhardt Regular Italic" w:eastAsia="Theinhardt Regular Italic"/>
          <w:i/>
          <w:sz w:val="18"/>
          <w:szCs w:val="18"/>
        </w:rPr>
        <w:t> machines</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chantier</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ont</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échappé</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jusqu’ici</w:t>
      </w:r>
      <w:r>
        <w:rPr>
          <w:rFonts w:ascii="Theinhardt Regular Italic" w:hAnsi="Theinhardt Regular Italic" w:cs="Theinhardt Regular Italic" w:eastAsia="Theinhardt Regular Italic"/>
          <w:i/>
          <w:sz w:val="18"/>
          <w:szCs w:val="18"/>
        </w:rPr>
        <w:t> aux</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mesures</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limitation</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des</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émissions</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sz w:val="18"/>
          <w:szCs w:val="18"/>
        </w:rPr>
      </w:r>
    </w:p>
    <w:p>
      <w:pPr>
        <w:spacing w:line="218" w:lineRule="auto" w:before="10"/>
        <w:ind w:left="106" w:right="0" w:firstLine="0"/>
        <w:jc w:val="both"/>
        <w:rPr>
          <w:rFonts w:ascii="Theinhardt Regular Italic" w:hAnsi="Theinhardt Regular Italic" w:cs="Theinhardt Regular Italic" w:eastAsia="Theinhardt Regular Italic"/>
          <w:sz w:val="18"/>
          <w:szCs w:val="18"/>
        </w:rPr>
      </w:pPr>
      <w:r>
        <w:rPr>
          <w:rFonts w:ascii="Theinhardt Regular Italic" w:hAnsi="Theinhardt Regular Italic"/>
          <w:i/>
          <w:spacing w:val="-1"/>
          <w:sz w:val="18"/>
        </w:rPr>
        <w:t>CO</w:t>
      </w:r>
      <w:r>
        <w:rPr>
          <w:rFonts w:ascii="Theinhardt Regular Italic" w:hAnsi="Theinhardt Regular Italic"/>
          <w:i/>
          <w:spacing w:val="-1"/>
          <w:position w:val="-5"/>
          <w:sz w:val="10"/>
        </w:rPr>
        <w:t>2</w:t>
      </w:r>
      <w:r>
        <w:rPr>
          <w:rFonts w:ascii="Theinhardt Regular Italic" w:hAnsi="Theinhardt Regular Italic"/>
          <w:i/>
          <w:spacing w:val="-1"/>
          <w:sz w:val="18"/>
        </w:rPr>
        <w:t>.</w:t>
      </w:r>
      <w:r>
        <w:rPr>
          <w:rFonts w:ascii="Theinhardt Regular Italic" w:hAnsi="Theinhardt Regular Italic"/>
          <w:i/>
          <w:spacing w:val="-6"/>
          <w:sz w:val="18"/>
        </w:rPr>
        <w:t> </w:t>
      </w:r>
      <w:r>
        <w:rPr>
          <w:rFonts w:ascii="Theinhardt Regular Italic" w:hAnsi="Theinhardt Regular Italic"/>
          <w:i/>
          <w:sz w:val="18"/>
        </w:rPr>
        <w:t>Avec</w:t>
      </w:r>
      <w:r>
        <w:rPr>
          <w:rFonts w:ascii="Theinhardt Regular Italic" w:hAnsi="Theinhardt Regular Italic"/>
          <w:i/>
          <w:spacing w:val="-6"/>
          <w:sz w:val="18"/>
        </w:rPr>
        <w:t> </w:t>
      </w:r>
      <w:r>
        <w:rPr>
          <w:rFonts w:ascii="Theinhardt Regular Italic" w:hAnsi="Theinhardt Regular Italic"/>
          <w:i/>
          <w:sz w:val="18"/>
        </w:rPr>
        <w:t>la</w:t>
      </w:r>
      <w:r>
        <w:rPr>
          <w:rFonts w:ascii="Theinhardt Regular Italic" w:hAnsi="Theinhardt Regular Italic"/>
          <w:i/>
          <w:spacing w:val="-6"/>
          <w:sz w:val="18"/>
        </w:rPr>
        <w:t> </w:t>
      </w:r>
      <w:r>
        <w:rPr>
          <w:rFonts w:ascii="Theinhardt Regular Italic" w:hAnsi="Theinhardt Regular Italic"/>
          <w:i/>
          <w:sz w:val="18"/>
        </w:rPr>
        <w:t>pelleteuse</w:t>
      </w:r>
      <w:r>
        <w:rPr>
          <w:rFonts w:ascii="Theinhardt Regular Italic" w:hAnsi="Theinhardt Regular Italic"/>
          <w:i/>
          <w:spacing w:val="-5"/>
          <w:sz w:val="18"/>
        </w:rPr>
        <w:t> </w:t>
      </w:r>
      <w:r>
        <w:rPr>
          <w:rFonts w:ascii="Theinhardt Regular Italic" w:hAnsi="Theinhardt Regular Italic"/>
          <w:i/>
          <w:sz w:val="18"/>
        </w:rPr>
        <w:t>solaire,</w:t>
      </w:r>
      <w:r>
        <w:rPr>
          <w:rFonts w:ascii="Theinhardt Regular Italic" w:hAnsi="Theinhardt Regular Italic"/>
          <w:i/>
          <w:spacing w:val="-6"/>
          <w:sz w:val="18"/>
        </w:rPr>
        <w:t> </w:t>
      </w:r>
      <w:r>
        <w:rPr>
          <w:rFonts w:ascii="Theinhardt Regular Italic" w:hAnsi="Theinhardt Regular Italic"/>
          <w:i/>
          <w:sz w:val="18"/>
        </w:rPr>
        <w:t>le</w:t>
      </w:r>
      <w:r>
        <w:rPr>
          <w:rFonts w:ascii="Theinhardt Regular Italic" w:hAnsi="Theinhardt Regular Italic"/>
          <w:i/>
          <w:spacing w:val="-6"/>
          <w:sz w:val="18"/>
        </w:rPr>
        <w:t> </w:t>
      </w:r>
      <w:r>
        <w:rPr>
          <w:rFonts w:ascii="Theinhardt Regular Italic" w:hAnsi="Theinhardt Regular Italic"/>
          <w:i/>
          <w:sz w:val="18"/>
        </w:rPr>
        <w:t>secteur</w:t>
      </w:r>
      <w:r>
        <w:rPr>
          <w:rFonts w:ascii="Theinhardt Regular Italic" w:hAnsi="Theinhardt Regular Italic"/>
          <w:i/>
          <w:spacing w:val="-5"/>
          <w:sz w:val="18"/>
        </w:rPr>
        <w:t> </w:t>
      </w:r>
      <w:r>
        <w:rPr>
          <w:rFonts w:ascii="Theinhardt Regular Italic" w:hAnsi="Theinhardt Regular Italic"/>
          <w:i/>
          <w:sz w:val="18"/>
        </w:rPr>
        <w:t>du</w:t>
      </w:r>
      <w:r>
        <w:rPr>
          <w:rFonts w:ascii="Theinhardt Regular Italic" w:hAnsi="Theinhardt Regular Italic"/>
          <w:i/>
          <w:spacing w:val="23"/>
          <w:sz w:val="18"/>
        </w:rPr>
        <w:t> </w:t>
      </w:r>
      <w:r>
        <w:rPr>
          <w:rFonts w:ascii="Theinhardt Regular Italic" w:hAnsi="Theinhardt Regular Italic"/>
          <w:i/>
          <w:sz w:val="18"/>
        </w:rPr>
        <w:t>bâtiment</w:t>
      </w:r>
      <w:r>
        <w:rPr>
          <w:rFonts w:ascii="Theinhardt Regular Italic" w:hAnsi="Theinhardt Regular Italic"/>
          <w:i/>
          <w:spacing w:val="26"/>
          <w:sz w:val="18"/>
        </w:rPr>
        <w:t> </w:t>
      </w:r>
      <w:r>
        <w:rPr>
          <w:rFonts w:ascii="Theinhardt Regular Italic" w:hAnsi="Theinhardt Regular Italic"/>
          <w:i/>
          <w:sz w:val="18"/>
        </w:rPr>
        <w:t>entre</w:t>
      </w:r>
      <w:r>
        <w:rPr>
          <w:rFonts w:ascii="Theinhardt Regular Italic" w:hAnsi="Theinhardt Regular Italic"/>
          <w:i/>
          <w:spacing w:val="27"/>
          <w:sz w:val="18"/>
        </w:rPr>
        <w:t> </w:t>
      </w:r>
      <w:r>
        <w:rPr>
          <w:rFonts w:ascii="Theinhardt Regular Italic" w:hAnsi="Theinhardt Regular Italic"/>
          <w:i/>
          <w:sz w:val="18"/>
        </w:rPr>
        <w:t>dans</w:t>
      </w:r>
      <w:r>
        <w:rPr>
          <w:rFonts w:ascii="Theinhardt Regular Italic" w:hAnsi="Theinhardt Regular Italic"/>
          <w:i/>
          <w:spacing w:val="26"/>
          <w:sz w:val="18"/>
        </w:rPr>
        <w:t> </w:t>
      </w:r>
      <w:r>
        <w:rPr>
          <w:rFonts w:ascii="Theinhardt Regular Italic" w:hAnsi="Theinhardt Regular Italic"/>
          <w:i/>
          <w:sz w:val="18"/>
        </w:rPr>
        <w:t>une</w:t>
      </w:r>
      <w:r>
        <w:rPr>
          <w:rFonts w:ascii="Theinhardt Regular Italic" w:hAnsi="Theinhardt Regular Italic"/>
          <w:i/>
          <w:spacing w:val="27"/>
          <w:sz w:val="18"/>
        </w:rPr>
        <w:t> </w:t>
      </w:r>
      <w:r>
        <w:rPr>
          <w:rFonts w:ascii="Theinhardt Regular Italic" w:hAnsi="Theinhardt Regular Italic"/>
          <w:i/>
          <w:sz w:val="18"/>
        </w:rPr>
        <w:t>nouvelle</w:t>
      </w:r>
      <w:r>
        <w:rPr>
          <w:rFonts w:ascii="Theinhardt Regular Italic" w:hAnsi="Theinhardt Regular Italic"/>
          <w:i/>
          <w:spacing w:val="27"/>
          <w:sz w:val="18"/>
        </w:rPr>
        <w:t> </w:t>
      </w:r>
      <w:r>
        <w:rPr>
          <w:rFonts w:ascii="Theinhardt Regular Italic" w:hAnsi="Theinhardt Regular Italic"/>
          <w:i/>
          <w:sz w:val="18"/>
        </w:rPr>
        <w:t>ère</w:t>
      </w:r>
      <w:r>
        <w:rPr>
          <w:rFonts w:ascii="Theinhardt Regular Italic" w:hAnsi="Theinhardt Regular Italic"/>
          <w:i/>
          <w:spacing w:val="26"/>
          <w:sz w:val="18"/>
        </w:rPr>
        <w:t> </w:t>
      </w:r>
      <w:r>
        <w:rPr>
          <w:rFonts w:ascii="Theinhardt Regular Italic" w:hAnsi="Theinhardt Regular Italic"/>
          <w:i/>
          <w:sz w:val="18"/>
        </w:rPr>
        <w:t>plus</w:t>
      </w:r>
      <w:r>
        <w:rPr>
          <w:rFonts w:ascii="Theinhardt Regular Italic" w:hAnsi="Theinhardt Regular Italic"/>
          <w:i/>
          <w:sz w:val="18"/>
        </w:rPr>
        <w:t> respectueuse du climat.</w:t>
      </w:r>
      <w:r>
        <w:rPr>
          <w:rFonts w:ascii="Theinhardt Regular Italic" w:hAnsi="Theinhardt Regular Italic"/>
          <w:sz w:val="18"/>
        </w:rPr>
      </w:r>
    </w:p>
    <w:p>
      <w:pPr>
        <w:spacing w:line="228" w:lineRule="auto" w:before="6"/>
        <w:ind w:left="106" w:right="0" w:firstLine="226"/>
        <w:jc w:val="both"/>
        <w:rPr>
          <w:rFonts w:ascii="Theinhardt Regular Italic" w:hAnsi="Theinhardt Regular Italic" w:cs="Theinhardt Regular Italic" w:eastAsia="Theinhardt Regular Italic"/>
          <w:sz w:val="18"/>
          <w:szCs w:val="18"/>
        </w:rPr>
      </w:pPr>
      <w:r>
        <w:rPr>
          <w:rFonts w:ascii="Theinhardt Regular Italic" w:hAnsi="Theinhardt Regular Italic" w:cs="Theinhardt Regular Italic" w:eastAsia="Theinhardt Regular Italic"/>
          <w:i/>
          <w:spacing w:val="-2"/>
          <w:sz w:val="18"/>
          <w:szCs w:val="18"/>
        </w:rPr>
        <w:t>La</w:t>
      </w:r>
      <w:r>
        <w:rPr>
          <w:rFonts w:ascii="Theinhardt Regular Italic" w:hAnsi="Theinhardt Regular Italic" w:cs="Theinhardt Regular Italic" w:eastAsia="Theinhardt Regular Italic"/>
          <w:i/>
          <w:spacing w:val="19"/>
          <w:sz w:val="18"/>
          <w:szCs w:val="18"/>
        </w:rPr>
        <w:t> </w:t>
      </w:r>
      <w:r>
        <w:rPr>
          <w:rFonts w:ascii="Theinhardt Regular Italic" w:hAnsi="Theinhardt Regular Italic" w:cs="Theinhardt Regular Italic" w:eastAsia="Theinhardt Regular Italic"/>
          <w:i/>
          <w:sz w:val="18"/>
          <w:szCs w:val="18"/>
        </w:rPr>
        <w:t>pelleteuse</w:t>
      </w:r>
      <w:r>
        <w:rPr>
          <w:rFonts w:ascii="Theinhardt Regular Italic" w:hAnsi="Theinhardt Regular Italic" w:cs="Theinhardt Regular Italic" w:eastAsia="Theinhardt Regular Italic"/>
          <w:i/>
          <w:spacing w:val="19"/>
          <w:sz w:val="18"/>
          <w:szCs w:val="18"/>
        </w:rPr>
        <w:t> </w:t>
      </w:r>
      <w:r>
        <w:rPr>
          <w:rFonts w:ascii="Theinhardt Regular Italic" w:hAnsi="Theinhardt Regular Italic" w:cs="Theinhardt Regular Italic" w:eastAsia="Theinhardt Regular Italic"/>
          <w:i/>
          <w:sz w:val="18"/>
          <w:szCs w:val="18"/>
        </w:rPr>
        <w:t>électrique</w:t>
      </w:r>
      <w:r>
        <w:rPr>
          <w:rFonts w:ascii="Theinhardt Regular Italic" w:hAnsi="Theinhardt Regular Italic" w:cs="Theinhardt Regular Italic" w:eastAsia="Theinhardt Regular Italic"/>
          <w:i/>
          <w:spacing w:val="19"/>
          <w:sz w:val="18"/>
          <w:szCs w:val="18"/>
        </w:rPr>
        <w:t> </w:t>
      </w:r>
      <w:r>
        <w:rPr>
          <w:rFonts w:ascii="Theinhardt Regular Italic" w:hAnsi="Theinhardt Regular Italic" w:cs="Theinhardt Regular Italic" w:eastAsia="Theinhardt Regular Italic"/>
          <w:i/>
          <w:sz w:val="18"/>
          <w:szCs w:val="18"/>
        </w:rPr>
        <w:t>coûte</w:t>
      </w:r>
      <w:r>
        <w:rPr>
          <w:rFonts w:ascii="Theinhardt Regular Italic" w:hAnsi="Theinhardt Regular Italic" w:cs="Theinhardt Regular Italic" w:eastAsia="Theinhardt Regular Italic"/>
          <w:i/>
          <w:spacing w:val="19"/>
          <w:sz w:val="18"/>
          <w:szCs w:val="18"/>
        </w:rPr>
        <w:t> </w:t>
      </w:r>
      <w:r>
        <w:rPr>
          <w:rFonts w:ascii="Theinhardt Regular Italic" w:hAnsi="Theinhardt Regular Italic" w:cs="Theinhardt Regular Italic" w:eastAsia="Theinhardt Regular Italic"/>
          <w:i/>
          <w:sz w:val="18"/>
          <w:szCs w:val="18"/>
        </w:rPr>
        <w:t>deux</w:t>
      </w:r>
      <w:r>
        <w:rPr>
          <w:rFonts w:ascii="Theinhardt Regular Italic" w:hAnsi="Theinhardt Regular Italic" w:cs="Theinhardt Regular Italic" w:eastAsia="Theinhardt Regular Italic"/>
          <w:i/>
          <w:spacing w:val="19"/>
          <w:sz w:val="18"/>
          <w:szCs w:val="18"/>
        </w:rPr>
        <w:t> </w:t>
      </w:r>
      <w:r>
        <w:rPr>
          <w:rFonts w:ascii="Theinhardt Regular Italic" w:hAnsi="Theinhardt Regular Italic" w:cs="Theinhardt Regular Italic" w:eastAsia="Theinhardt Regular Italic"/>
          <w:i/>
          <w:sz w:val="18"/>
          <w:szCs w:val="18"/>
        </w:rPr>
        <w:t>fois</w:t>
      </w:r>
      <w:r>
        <w:rPr>
          <w:rFonts w:ascii="Theinhardt Regular Italic" w:hAnsi="Theinhardt Regular Italic" w:cs="Theinhardt Regular Italic" w:eastAsia="Theinhardt Regular Italic"/>
          <w:i/>
          <w:spacing w:val="20"/>
          <w:sz w:val="18"/>
          <w:szCs w:val="18"/>
        </w:rPr>
        <w:t> </w:t>
      </w:r>
      <w:r>
        <w:rPr>
          <w:rFonts w:ascii="Theinhardt Regular Italic" w:hAnsi="Theinhardt Regular Italic" w:cs="Theinhardt Regular Italic" w:eastAsia="Theinhardt Regular Italic"/>
          <w:i/>
          <w:sz w:val="18"/>
          <w:szCs w:val="18"/>
        </w:rPr>
        <w:t>plus</w:t>
      </w:r>
      <w:r>
        <w:rPr>
          <w:rFonts w:ascii="Theinhardt Regular Italic" w:hAnsi="Theinhardt Regular Italic" w:cs="Theinhardt Regular Italic" w:eastAsia="Theinhardt Regular Italic"/>
          <w:i/>
          <w:spacing w:val="15"/>
          <w:sz w:val="18"/>
          <w:szCs w:val="18"/>
        </w:rPr>
        <w:t> </w:t>
      </w:r>
      <w:r>
        <w:rPr>
          <w:rFonts w:ascii="Theinhardt Regular Italic" w:hAnsi="Theinhardt Regular Italic" w:cs="Theinhardt Regular Italic" w:eastAsia="Theinhardt Regular Italic"/>
          <w:i/>
          <w:sz w:val="18"/>
          <w:szCs w:val="18"/>
        </w:rPr>
        <w:t>cher</w:t>
      </w:r>
      <w:r>
        <w:rPr>
          <w:rFonts w:ascii="Theinhardt Regular Italic" w:hAnsi="Theinhardt Regular Italic" w:cs="Theinhardt Regular Italic" w:eastAsia="Theinhardt Regular Italic"/>
          <w:i/>
          <w:spacing w:val="15"/>
          <w:sz w:val="18"/>
          <w:szCs w:val="18"/>
        </w:rPr>
        <w:t> </w:t>
      </w:r>
      <w:r>
        <w:rPr>
          <w:rFonts w:ascii="Theinhardt Regular Italic" w:hAnsi="Theinhardt Regular Italic" w:cs="Theinhardt Regular Italic" w:eastAsia="Theinhardt Regular Italic"/>
          <w:i/>
          <w:sz w:val="18"/>
          <w:szCs w:val="18"/>
        </w:rPr>
        <w:t>qu’un</w:t>
      </w:r>
      <w:r>
        <w:rPr>
          <w:rFonts w:ascii="Theinhardt Regular Italic" w:hAnsi="Theinhardt Regular Italic" w:cs="Theinhardt Regular Italic" w:eastAsia="Theinhardt Regular Italic"/>
          <w:i/>
          <w:spacing w:val="15"/>
          <w:sz w:val="18"/>
          <w:szCs w:val="18"/>
        </w:rPr>
        <w:t> </w:t>
      </w:r>
      <w:r>
        <w:rPr>
          <w:rFonts w:ascii="Theinhardt Regular Italic" w:hAnsi="Theinhardt Regular Italic" w:cs="Theinhardt Regular Italic" w:eastAsia="Theinhardt Regular Italic"/>
          <w:i/>
          <w:sz w:val="18"/>
          <w:szCs w:val="18"/>
        </w:rPr>
        <w:t>modèle</w:t>
      </w:r>
      <w:r>
        <w:rPr>
          <w:rFonts w:ascii="Theinhardt Regular Italic" w:hAnsi="Theinhardt Regular Italic" w:cs="Theinhardt Regular Italic" w:eastAsia="Theinhardt Regular Italic"/>
          <w:i/>
          <w:spacing w:val="15"/>
          <w:sz w:val="18"/>
          <w:szCs w:val="18"/>
        </w:rPr>
        <w:t> </w:t>
      </w:r>
      <w:r>
        <w:rPr>
          <w:rFonts w:ascii="Theinhardt Regular Italic" w:hAnsi="Theinhardt Regular Italic" w:cs="Theinhardt Regular Italic" w:eastAsia="Theinhardt Regular Italic"/>
          <w:i/>
          <w:sz w:val="18"/>
          <w:szCs w:val="18"/>
        </w:rPr>
        <w:t>diesel.</w:t>
      </w:r>
      <w:r>
        <w:rPr>
          <w:rFonts w:ascii="Theinhardt Regular Italic" w:hAnsi="Theinhardt Regular Italic" w:cs="Theinhardt Regular Italic" w:eastAsia="Theinhardt Regular Italic"/>
          <w:i/>
          <w:spacing w:val="15"/>
          <w:sz w:val="18"/>
          <w:szCs w:val="18"/>
        </w:rPr>
        <w:t> </w:t>
      </w:r>
      <w:r>
        <w:rPr>
          <w:rFonts w:ascii="Theinhardt Regular Italic" w:hAnsi="Theinhardt Regular Italic" w:cs="Theinhardt Regular Italic" w:eastAsia="Theinhardt Regular Italic"/>
          <w:i/>
          <w:sz w:val="18"/>
          <w:szCs w:val="18"/>
        </w:rPr>
        <w:t>Elle</w:t>
      </w:r>
      <w:r>
        <w:rPr>
          <w:rFonts w:ascii="Theinhardt Regular Italic" w:hAnsi="Theinhardt Regular Italic" w:cs="Theinhardt Regular Italic" w:eastAsia="Theinhardt Regular Italic"/>
          <w:i/>
          <w:spacing w:val="15"/>
          <w:sz w:val="18"/>
          <w:szCs w:val="18"/>
        </w:rPr>
        <w:t> </w:t>
      </w:r>
      <w:r>
        <w:rPr>
          <w:rFonts w:ascii="Theinhardt Regular Italic" w:hAnsi="Theinhardt Regular Italic" w:cs="Theinhardt Regular Italic" w:eastAsia="Theinhardt Regular Italic"/>
          <w:i/>
          <w:sz w:val="18"/>
          <w:szCs w:val="18"/>
        </w:rPr>
        <w:t>permet</w:t>
      </w:r>
      <w:r>
        <w:rPr>
          <w:rFonts w:ascii="Theinhardt Regular Italic" w:hAnsi="Theinhardt Regular Italic" w:cs="Theinhardt Regular Italic" w:eastAsia="Theinhardt Regular Italic"/>
          <w:i/>
          <w:sz w:val="18"/>
          <w:szCs w:val="18"/>
        </w:rPr>
        <w:t> par</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contre</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d’économiser</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CHF</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21’000/a</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sur</w:t>
      </w:r>
      <w:r>
        <w:rPr>
          <w:rFonts w:ascii="Theinhardt Regular Italic" w:hAnsi="Theinhardt Regular Italic" w:cs="Theinhardt Regular Italic" w:eastAsia="Theinhardt Regular Italic"/>
          <w:i/>
          <w:sz w:val="18"/>
          <w:szCs w:val="18"/>
        </w:rPr>
        <w:t> le</w:t>
      </w:r>
      <w:r>
        <w:rPr>
          <w:rFonts w:ascii="Theinhardt Regular Italic" w:hAnsi="Theinhardt Regular Italic" w:cs="Theinhardt Regular Italic" w:eastAsia="Theinhardt Regular Italic"/>
          <w:i/>
          <w:spacing w:val="14"/>
          <w:sz w:val="18"/>
          <w:szCs w:val="18"/>
        </w:rPr>
        <w:t> </w:t>
      </w:r>
      <w:r>
        <w:rPr>
          <w:rFonts w:ascii="Theinhardt Regular Italic" w:hAnsi="Theinhardt Regular Italic" w:cs="Theinhardt Regular Italic" w:eastAsia="Theinhardt Regular Italic"/>
          <w:i/>
          <w:sz w:val="18"/>
          <w:szCs w:val="18"/>
        </w:rPr>
        <w:t>carburant</w:t>
      </w:r>
      <w:r>
        <w:rPr>
          <w:rFonts w:ascii="Theinhardt Regular Italic" w:hAnsi="Theinhardt Regular Italic" w:cs="Theinhardt Regular Italic" w:eastAsia="Theinhardt Regular Italic"/>
          <w:i/>
          <w:spacing w:val="14"/>
          <w:sz w:val="18"/>
          <w:szCs w:val="18"/>
        </w:rPr>
        <w:t> </w:t>
      </w:r>
      <w:r>
        <w:rPr>
          <w:rFonts w:ascii="Theinhardt Regular Italic" w:hAnsi="Theinhardt Regular Italic" w:cs="Theinhardt Regular Italic" w:eastAsia="Theinhardt Regular Italic"/>
          <w:i/>
          <w:sz w:val="18"/>
          <w:szCs w:val="18"/>
        </w:rPr>
        <w:t>et</w:t>
      </w:r>
      <w:r>
        <w:rPr>
          <w:rFonts w:ascii="Theinhardt Regular Italic" w:hAnsi="Theinhardt Regular Italic" w:cs="Theinhardt Regular Italic" w:eastAsia="Theinhardt Regular Italic"/>
          <w:i/>
          <w:spacing w:val="14"/>
          <w:sz w:val="18"/>
          <w:szCs w:val="18"/>
        </w:rPr>
        <w:t> </w:t>
      </w:r>
      <w:r>
        <w:rPr>
          <w:rFonts w:ascii="Theinhardt Regular Italic" w:hAnsi="Theinhardt Regular Italic" w:cs="Theinhardt Regular Italic" w:eastAsia="Theinhardt Regular Italic"/>
          <w:i/>
          <w:sz w:val="18"/>
          <w:szCs w:val="18"/>
        </w:rPr>
        <w:t>CHF</w:t>
      </w:r>
      <w:r>
        <w:rPr>
          <w:rFonts w:ascii="Theinhardt Regular Italic" w:hAnsi="Theinhardt Regular Italic" w:cs="Theinhardt Regular Italic" w:eastAsia="Theinhardt Regular Italic"/>
          <w:i/>
          <w:spacing w:val="14"/>
          <w:sz w:val="18"/>
          <w:szCs w:val="18"/>
        </w:rPr>
        <w:t> </w:t>
      </w:r>
      <w:r>
        <w:rPr>
          <w:rFonts w:ascii="Theinhardt Regular Italic" w:hAnsi="Theinhardt Regular Italic" w:cs="Theinhardt Regular Italic" w:eastAsia="Theinhardt Regular Italic"/>
          <w:i/>
          <w:sz w:val="18"/>
          <w:szCs w:val="18"/>
        </w:rPr>
        <w:t>2’000/a</w:t>
      </w:r>
      <w:r>
        <w:rPr>
          <w:rFonts w:ascii="Theinhardt Regular Italic" w:hAnsi="Theinhardt Regular Italic" w:cs="Theinhardt Regular Italic" w:eastAsia="Theinhardt Regular Italic"/>
          <w:i/>
          <w:spacing w:val="14"/>
          <w:sz w:val="18"/>
          <w:szCs w:val="18"/>
        </w:rPr>
        <w:t> </w:t>
      </w:r>
      <w:r>
        <w:rPr>
          <w:rFonts w:ascii="Theinhardt Regular Italic" w:hAnsi="Theinhardt Regular Italic" w:cs="Theinhardt Regular Italic" w:eastAsia="Theinhardt Regular Italic"/>
          <w:i/>
          <w:sz w:val="18"/>
          <w:szCs w:val="18"/>
        </w:rPr>
        <w:t>sur</w:t>
      </w:r>
      <w:r>
        <w:rPr>
          <w:rFonts w:ascii="Theinhardt Regular Italic" w:hAnsi="Theinhardt Regular Italic" w:cs="Theinhardt Regular Italic" w:eastAsia="Theinhardt Regular Italic"/>
          <w:i/>
          <w:spacing w:val="14"/>
          <w:sz w:val="18"/>
          <w:szCs w:val="18"/>
        </w:rPr>
        <w:t> </w:t>
      </w:r>
      <w:r>
        <w:rPr>
          <w:rFonts w:ascii="Theinhardt Regular Italic" w:hAnsi="Theinhardt Regular Italic" w:cs="Theinhardt Regular Italic" w:eastAsia="Theinhardt Regular Italic"/>
          <w:i/>
          <w:sz w:val="18"/>
          <w:szCs w:val="18"/>
        </w:rPr>
        <w:t>la</w:t>
      </w:r>
      <w:r>
        <w:rPr>
          <w:rFonts w:ascii="Theinhardt Regular Italic" w:hAnsi="Theinhardt Regular Italic" w:cs="Theinhardt Regular Italic" w:eastAsia="Theinhardt Regular Italic"/>
          <w:i/>
          <w:spacing w:val="14"/>
          <w:sz w:val="18"/>
          <w:szCs w:val="18"/>
        </w:rPr>
        <w:t> </w:t>
      </w:r>
      <w:r>
        <w:rPr>
          <w:rFonts w:ascii="Theinhardt Regular Italic" w:hAnsi="Theinhardt Regular Italic" w:cs="Theinhardt Regular Italic" w:eastAsia="Theinhardt Regular Italic"/>
          <w:i/>
          <w:sz w:val="18"/>
          <w:szCs w:val="18"/>
        </w:rPr>
        <w:t>mainte-</w:t>
      </w:r>
      <w:r>
        <w:rPr>
          <w:rFonts w:ascii="Theinhardt Regular Italic" w:hAnsi="Theinhardt Regular Italic" w:cs="Theinhardt Regular Italic" w:eastAsia="Theinhardt Regular Italic"/>
          <w:i/>
          <w:sz w:val="18"/>
          <w:szCs w:val="18"/>
        </w:rPr>
        <w:t> nance.</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Elle</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est</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amortie</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en</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8,5</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ans</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et</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émet</w:t>
      </w:r>
      <w:r>
        <w:rPr>
          <w:rFonts w:ascii="Theinhardt Regular Italic" w:hAnsi="Theinhardt Regular Italic" w:cs="Theinhardt Regular Italic" w:eastAsia="Theinhardt Regular Italic"/>
          <w:i/>
          <w:sz w:val="18"/>
          <w:szCs w:val="18"/>
        </w:rPr>
        <w:t> 40</w:t>
      </w:r>
      <w:r>
        <w:rPr>
          <w:rFonts w:ascii="Theinhardt Regular Italic" w:hAnsi="Theinhardt Regular Italic" w:cs="Theinhardt Regular Italic" w:eastAsia="Theinhardt Regular Italic"/>
          <w:i/>
          <w:spacing w:val="24"/>
          <w:sz w:val="18"/>
          <w:szCs w:val="18"/>
        </w:rPr>
        <w:t> </w:t>
      </w:r>
      <w:r>
        <w:rPr>
          <w:rFonts w:ascii="Theinhardt Regular Italic" w:hAnsi="Theinhardt Regular Italic" w:cs="Theinhardt Regular Italic" w:eastAsia="Theinhardt Regular Italic"/>
          <w:i/>
          <w:sz w:val="18"/>
          <w:szCs w:val="18"/>
        </w:rPr>
        <w:t>t/a</w:t>
      </w:r>
      <w:r>
        <w:rPr>
          <w:rFonts w:ascii="Theinhardt Regular Italic" w:hAnsi="Theinhardt Regular Italic" w:cs="Theinhardt Regular Italic" w:eastAsia="Theinhardt Regular Italic"/>
          <w:i/>
          <w:spacing w:val="25"/>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25"/>
          <w:sz w:val="18"/>
          <w:szCs w:val="18"/>
        </w:rPr>
        <w:t> </w:t>
      </w:r>
      <w:r>
        <w:rPr>
          <w:rFonts w:ascii="Theinhardt Regular Italic" w:hAnsi="Theinhardt Regular Italic" w:cs="Theinhardt Regular Italic" w:eastAsia="Theinhardt Regular Italic"/>
          <w:i/>
          <w:spacing w:val="-1"/>
          <w:sz w:val="18"/>
          <w:szCs w:val="18"/>
        </w:rPr>
        <w:t>CO</w:t>
      </w:r>
      <w:r>
        <w:rPr>
          <w:rFonts w:ascii="Theinhardt Regular Italic" w:hAnsi="Theinhardt Regular Italic" w:cs="Theinhardt Regular Italic" w:eastAsia="Theinhardt Regular Italic"/>
          <w:i/>
          <w:spacing w:val="-1"/>
          <w:position w:val="-5"/>
          <w:sz w:val="10"/>
          <w:szCs w:val="10"/>
        </w:rPr>
        <w:t>2</w:t>
      </w:r>
      <w:r>
        <w:rPr>
          <w:rFonts w:ascii="Theinhardt Regular Italic" w:hAnsi="Theinhardt Regular Italic" w:cs="Theinhardt Regular Italic" w:eastAsia="Theinhardt Regular Italic"/>
          <w:i/>
          <w:spacing w:val="19"/>
          <w:position w:val="-5"/>
          <w:sz w:val="10"/>
          <w:szCs w:val="10"/>
        </w:rPr>
        <w:t> </w:t>
      </w:r>
      <w:r>
        <w:rPr>
          <w:rFonts w:ascii="Theinhardt Regular Italic" w:hAnsi="Theinhardt Regular Italic" w:cs="Theinhardt Regular Italic" w:eastAsia="Theinhardt Regular Italic"/>
          <w:i/>
          <w:sz w:val="18"/>
          <w:szCs w:val="18"/>
        </w:rPr>
        <w:t>en</w:t>
      </w:r>
      <w:r>
        <w:rPr>
          <w:rFonts w:ascii="Theinhardt Regular Italic" w:hAnsi="Theinhardt Regular Italic" w:cs="Theinhardt Regular Italic" w:eastAsia="Theinhardt Regular Italic"/>
          <w:i/>
          <w:spacing w:val="25"/>
          <w:sz w:val="18"/>
          <w:szCs w:val="18"/>
        </w:rPr>
        <w:t> </w:t>
      </w:r>
      <w:r>
        <w:rPr>
          <w:rFonts w:ascii="Theinhardt Regular Italic" w:hAnsi="Theinhardt Regular Italic" w:cs="Theinhardt Regular Italic" w:eastAsia="Theinhardt Regular Italic"/>
          <w:i/>
          <w:sz w:val="18"/>
          <w:szCs w:val="18"/>
        </w:rPr>
        <w:t>moins</w:t>
      </w:r>
      <w:r>
        <w:rPr>
          <w:rFonts w:ascii="Theinhardt Regular Italic" w:hAnsi="Theinhardt Regular Italic" w:cs="Theinhardt Regular Italic" w:eastAsia="Theinhardt Regular Italic"/>
          <w:i/>
          <w:spacing w:val="25"/>
          <w:sz w:val="18"/>
          <w:szCs w:val="18"/>
        </w:rPr>
        <w:t> </w:t>
      </w:r>
      <w:r>
        <w:rPr>
          <w:rFonts w:ascii="Theinhardt Regular Italic" w:hAnsi="Theinhardt Regular Italic" w:cs="Theinhardt Regular Italic" w:eastAsia="Theinhardt Regular Italic"/>
          <w:i/>
          <w:sz w:val="18"/>
          <w:szCs w:val="18"/>
        </w:rPr>
        <w:t>qu’un</w:t>
      </w:r>
      <w:r>
        <w:rPr>
          <w:rFonts w:ascii="Theinhardt Regular Italic" w:hAnsi="Theinhardt Regular Italic" w:cs="Theinhardt Regular Italic" w:eastAsia="Theinhardt Regular Italic"/>
          <w:i/>
          <w:spacing w:val="25"/>
          <w:sz w:val="18"/>
          <w:szCs w:val="18"/>
        </w:rPr>
        <w:t> </w:t>
      </w:r>
      <w:r>
        <w:rPr>
          <w:rFonts w:ascii="Theinhardt Regular Italic" w:hAnsi="Theinhardt Regular Italic" w:cs="Theinhardt Regular Italic" w:eastAsia="Theinhardt Regular Italic"/>
          <w:i/>
          <w:sz w:val="18"/>
          <w:szCs w:val="18"/>
        </w:rPr>
        <w:t>diesel.</w:t>
      </w:r>
      <w:r>
        <w:rPr>
          <w:rFonts w:ascii="Theinhardt Regular Italic" w:hAnsi="Theinhardt Regular Italic" w:cs="Theinhardt Regular Italic" w:eastAsia="Theinhardt Regular Italic"/>
          <w:i/>
          <w:spacing w:val="25"/>
          <w:sz w:val="18"/>
          <w:szCs w:val="18"/>
        </w:rPr>
        <w:t> </w:t>
      </w:r>
      <w:r>
        <w:rPr>
          <w:rFonts w:ascii="Theinhardt Regular Italic" w:hAnsi="Theinhardt Regular Italic" w:cs="Theinhardt Regular Italic" w:eastAsia="Theinhardt Regular Italic"/>
          <w:i/>
          <w:sz w:val="18"/>
          <w:szCs w:val="18"/>
        </w:rPr>
        <w:t>Les</w:t>
      </w:r>
      <w:r>
        <w:rPr>
          <w:rFonts w:ascii="Theinhardt Regular Italic" w:hAnsi="Theinhardt Regular Italic" w:cs="Theinhardt Regular Italic" w:eastAsia="Theinhardt Regular Italic"/>
          <w:i/>
          <w:spacing w:val="22"/>
          <w:sz w:val="18"/>
          <w:szCs w:val="18"/>
        </w:rPr>
        <w:t> </w:t>
      </w:r>
      <w:r>
        <w:rPr>
          <w:rFonts w:ascii="Theinhardt Regular Italic" w:hAnsi="Theinhardt Regular Italic" w:cs="Theinhardt Regular Italic" w:eastAsia="Theinhardt Regular Italic"/>
          <w:i/>
          <w:sz w:val="18"/>
          <w:szCs w:val="18"/>
        </w:rPr>
        <w:t>batteries</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se</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pacing w:val="-1"/>
          <w:sz w:val="18"/>
          <w:szCs w:val="18"/>
        </w:rPr>
        <w:t>laissent</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remplacer</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et,</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avec</w:t>
      </w:r>
      <w:r>
        <w:rPr>
          <w:rFonts w:ascii="Theinhardt Regular Italic" w:hAnsi="Theinhardt Regular Italic" w:cs="Theinhardt Regular Italic" w:eastAsia="Theinhardt Regular Italic"/>
          <w:i/>
          <w:spacing w:val="12"/>
          <w:sz w:val="18"/>
          <w:szCs w:val="18"/>
        </w:rPr>
        <w:t> </w:t>
      </w:r>
      <w:r>
        <w:rPr>
          <w:rFonts w:ascii="Theinhardt Regular Italic" w:hAnsi="Theinhardt Regular Italic" w:cs="Theinhardt Regular Italic" w:eastAsia="Theinhardt Regular Italic"/>
          <w:i/>
          <w:sz w:val="18"/>
          <w:szCs w:val="18"/>
        </w:rPr>
        <w:t>une</w:t>
      </w:r>
      <w:r>
        <w:rPr>
          <w:rFonts w:ascii="Theinhardt Regular Italic" w:hAnsi="Theinhardt Regular Italic" w:cs="Theinhardt Regular Italic" w:eastAsia="Theinhardt Regular Italic"/>
          <w:i/>
          <w:spacing w:val="25"/>
          <w:sz w:val="18"/>
          <w:szCs w:val="18"/>
        </w:rPr>
        <w:t> </w:t>
      </w:r>
      <w:r>
        <w:rPr>
          <w:rFonts w:ascii="Theinhardt Regular Italic" w:hAnsi="Theinhardt Regular Italic" w:cs="Theinhardt Regular Italic" w:eastAsia="Theinhardt Regular Italic"/>
          <w:i/>
          <w:sz w:val="18"/>
          <w:szCs w:val="18"/>
        </w:rPr>
        <w:t>capacité</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190</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kWh/j,</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offrent</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une</w:t>
      </w:r>
      <w:r>
        <w:rPr>
          <w:rFonts w:ascii="Theinhardt Regular Italic" w:hAnsi="Theinhardt Regular Italic" w:cs="Theinhardt Regular Italic" w:eastAsia="Theinhardt Regular Italic"/>
          <w:i/>
          <w:spacing w:val="8"/>
          <w:sz w:val="18"/>
          <w:szCs w:val="18"/>
        </w:rPr>
        <w:t> </w:t>
      </w:r>
      <w:r>
        <w:rPr>
          <w:rFonts w:ascii="Theinhardt Regular Italic" w:hAnsi="Theinhardt Regular Italic" w:cs="Theinhardt Regular Italic" w:eastAsia="Theinhardt Regular Italic"/>
          <w:i/>
          <w:sz w:val="18"/>
          <w:szCs w:val="18"/>
        </w:rPr>
        <w:t>autono-</w:t>
      </w:r>
      <w:r>
        <w:rPr>
          <w:rFonts w:ascii="Theinhardt Regular Italic" w:hAnsi="Theinhardt Regular Italic" w:cs="Theinhardt Regular Italic" w:eastAsia="Theinhardt Regular Italic"/>
          <w:sz w:val="18"/>
          <w:szCs w:val="18"/>
        </w:rPr>
      </w:r>
    </w:p>
    <w:p>
      <w:pPr>
        <w:spacing w:line="229" w:lineRule="exact" w:before="0"/>
        <w:ind w:left="106" w:right="0" w:firstLine="0"/>
        <w:jc w:val="both"/>
        <w:rPr>
          <w:rFonts w:ascii="Theinhardt Regular Italic" w:hAnsi="Theinhardt Regular Italic" w:cs="Theinhardt Regular Italic" w:eastAsia="Theinhardt Regular Italic"/>
          <w:sz w:val="18"/>
          <w:szCs w:val="18"/>
        </w:rPr>
      </w:pPr>
      <w:r>
        <w:rPr>
          <w:rFonts w:ascii="Theinhardt Regular Italic"/>
          <w:i/>
          <w:sz w:val="18"/>
        </w:rPr>
        <w:t>mie de 9 heures.</w:t>
      </w:r>
      <w:r>
        <w:rPr>
          <w:rFonts w:ascii="Theinhardt Regular Italic"/>
          <w:sz w:val="18"/>
        </w:rPr>
      </w:r>
    </w:p>
    <w:p>
      <w:pPr>
        <w:spacing w:line="232" w:lineRule="auto" w:before="2"/>
        <w:ind w:left="106" w:right="0" w:firstLine="226"/>
        <w:jc w:val="both"/>
        <w:rPr>
          <w:rFonts w:ascii="Theinhardt Regular Italic" w:hAnsi="Theinhardt Regular Italic" w:cs="Theinhardt Regular Italic" w:eastAsia="Theinhardt Regular Italic"/>
          <w:sz w:val="18"/>
          <w:szCs w:val="18"/>
        </w:rPr>
      </w:pPr>
      <w:r>
        <w:rPr>
          <w:rFonts w:ascii="Theinhardt Regular Italic" w:hAnsi="Theinhardt Regular Italic" w:cs="Theinhardt Regular Italic" w:eastAsia="Theinhardt Regular Italic"/>
          <w:i/>
          <w:sz w:val="18"/>
          <w:szCs w:val="18"/>
        </w:rPr>
        <w:t>L’association</w:t>
      </w:r>
      <w:r>
        <w:rPr>
          <w:rFonts w:ascii="Theinhardt Regular Italic" w:hAnsi="Theinhardt Regular Italic" w:cs="Theinhardt Regular Italic" w:eastAsia="Theinhardt Regular Italic"/>
          <w:i/>
          <w:spacing w:val="10"/>
          <w:sz w:val="18"/>
          <w:szCs w:val="18"/>
        </w:rPr>
        <w:t> </w:t>
      </w:r>
      <w:r>
        <w:rPr>
          <w:rFonts w:ascii="Theinhardt Regular Italic" w:hAnsi="Theinhardt Regular Italic" w:cs="Theinhardt Regular Italic" w:eastAsia="Theinhardt Regular Italic"/>
          <w:i/>
          <w:sz w:val="18"/>
          <w:szCs w:val="18"/>
        </w:rPr>
        <w:t>du</w:t>
      </w:r>
      <w:r>
        <w:rPr>
          <w:rFonts w:ascii="Theinhardt Regular Italic" w:hAnsi="Theinhardt Regular Italic" w:cs="Theinhardt Regular Italic" w:eastAsia="Theinhardt Regular Italic"/>
          <w:i/>
          <w:spacing w:val="10"/>
          <w:sz w:val="18"/>
          <w:szCs w:val="18"/>
        </w:rPr>
        <w:t> </w:t>
      </w:r>
      <w:r>
        <w:rPr>
          <w:rFonts w:ascii="Theinhardt Regular Italic" w:hAnsi="Theinhardt Regular Italic" w:cs="Theinhardt Regular Italic" w:eastAsia="Theinhardt Regular Italic"/>
          <w:i/>
          <w:sz w:val="18"/>
          <w:szCs w:val="18"/>
        </w:rPr>
        <w:t>courant</w:t>
      </w:r>
      <w:r>
        <w:rPr>
          <w:rFonts w:ascii="Theinhardt Regular Italic" w:hAnsi="Theinhardt Regular Italic" w:cs="Theinhardt Regular Italic" w:eastAsia="Theinhardt Regular Italic"/>
          <w:i/>
          <w:spacing w:val="10"/>
          <w:sz w:val="18"/>
          <w:szCs w:val="18"/>
        </w:rPr>
        <w:t> </w:t>
      </w:r>
      <w:r>
        <w:rPr>
          <w:rFonts w:ascii="Theinhardt Regular Italic" w:hAnsi="Theinhardt Regular Italic" w:cs="Theinhardt Regular Italic" w:eastAsia="Theinhardt Regular Italic"/>
          <w:i/>
          <w:sz w:val="18"/>
          <w:szCs w:val="18"/>
        </w:rPr>
        <w:t>solaire</w:t>
      </w:r>
      <w:r>
        <w:rPr>
          <w:rFonts w:ascii="Theinhardt Regular Italic" w:hAnsi="Theinhardt Regular Italic" w:cs="Theinhardt Regular Italic" w:eastAsia="Theinhardt Regular Italic"/>
          <w:i/>
          <w:spacing w:val="10"/>
          <w:sz w:val="18"/>
          <w:szCs w:val="18"/>
        </w:rPr>
        <w:t> </w:t>
      </w:r>
      <w:r>
        <w:rPr>
          <w:rFonts w:ascii="Theinhardt Regular Italic" w:hAnsi="Theinhardt Regular Italic" w:cs="Theinhardt Regular Italic" w:eastAsia="Theinhardt Regular Italic"/>
          <w:i/>
          <w:sz w:val="18"/>
          <w:szCs w:val="18"/>
        </w:rPr>
        <w:t>et</w:t>
      </w:r>
      <w:r>
        <w:rPr>
          <w:rFonts w:ascii="Theinhardt Regular Italic" w:hAnsi="Theinhardt Regular Italic" w:cs="Theinhardt Regular Italic" w:eastAsia="Theinhardt Regular Italic"/>
          <w:i/>
          <w:spacing w:val="10"/>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z w:val="18"/>
          <w:szCs w:val="18"/>
        </w:rPr>
        <w:t> l’électro-mobilité</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dans</w:t>
      </w:r>
      <w:r>
        <w:rPr>
          <w:rFonts w:ascii="Theinhardt Regular Italic" w:hAnsi="Theinhardt Regular Italic" w:cs="Theinhardt Regular Italic" w:eastAsia="Theinhardt Regular Italic"/>
          <w:i/>
          <w:spacing w:val="29"/>
          <w:sz w:val="18"/>
          <w:szCs w:val="18"/>
        </w:rPr>
        <w:t> </w:t>
      </w:r>
      <w:r>
        <w:rPr>
          <w:rFonts w:ascii="Theinhardt Regular Italic" w:hAnsi="Theinhardt Regular Italic" w:cs="Theinhardt Regular Italic" w:eastAsia="Theinhardt Regular Italic"/>
          <w:i/>
          <w:sz w:val="18"/>
          <w:szCs w:val="18"/>
        </w:rPr>
        <w:t>le</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domaine</w:t>
      </w:r>
      <w:r>
        <w:rPr>
          <w:rFonts w:ascii="Theinhardt Regular Italic" w:hAnsi="Theinhardt Regular Italic" w:cs="Theinhardt Regular Italic" w:eastAsia="Theinhardt Regular Italic"/>
          <w:i/>
          <w:spacing w:val="29"/>
          <w:sz w:val="18"/>
          <w:szCs w:val="18"/>
        </w:rPr>
        <w:t> </w:t>
      </w:r>
      <w:r>
        <w:rPr>
          <w:rFonts w:ascii="Theinhardt Regular Italic" w:hAnsi="Theinhardt Regular Italic" w:cs="Theinhardt Regular Italic" w:eastAsia="Theinhardt Regular Italic"/>
          <w:i/>
          <w:sz w:val="18"/>
          <w:szCs w:val="18"/>
        </w:rPr>
        <w:t>du</w:t>
      </w:r>
      <w:r>
        <w:rPr>
          <w:rFonts w:ascii="Theinhardt Regular Italic" w:hAnsi="Theinhardt Regular Italic" w:cs="Theinhardt Regular Italic" w:eastAsia="Theinhardt Regular Italic"/>
          <w:i/>
          <w:spacing w:val="29"/>
          <w:sz w:val="18"/>
          <w:szCs w:val="18"/>
        </w:rPr>
        <w:t> </w:t>
      </w:r>
      <w:r>
        <w:rPr>
          <w:rFonts w:ascii="Theinhardt Regular Italic" w:hAnsi="Theinhardt Regular Italic" w:cs="Theinhardt Regular Italic" w:eastAsia="Theinhardt Regular Italic"/>
          <w:i/>
          <w:sz w:val="18"/>
          <w:szCs w:val="18"/>
        </w:rPr>
        <w:t>bâti-</w:t>
      </w:r>
      <w:r>
        <w:rPr>
          <w:rFonts w:ascii="Theinhardt Regular Italic" w:hAnsi="Theinhardt Regular Italic" w:cs="Theinhardt Regular Italic" w:eastAsia="Theinhardt Regular Italic"/>
          <w:i/>
          <w:sz w:val="18"/>
          <w:szCs w:val="18"/>
        </w:rPr>
        <w:t> ment:</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une</w:t>
      </w:r>
      <w:r>
        <w:rPr>
          <w:rFonts w:ascii="Theinhardt Regular Italic" w:hAnsi="Theinhardt Regular Italic" w:cs="Theinhardt Regular Italic" w:eastAsia="Theinhardt Regular Italic"/>
          <w:i/>
          <w:spacing w:val="29"/>
          <w:sz w:val="18"/>
          <w:szCs w:val="18"/>
        </w:rPr>
        <w:t> </w:t>
      </w:r>
      <w:r>
        <w:rPr>
          <w:rFonts w:ascii="Theinhardt Regular Italic" w:hAnsi="Theinhardt Regular Italic" w:cs="Theinhardt Regular Italic" w:eastAsia="Theinhardt Regular Italic"/>
          <w:i/>
          <w:sz w:val="18"/>
          <w:szCs w:val="18"/>
        </w:rPr>
        <w:t>innovation</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unique</w:t>
      </w:r>
      <w:r>
        <w:rPr>
          <w:rFonts w:ascii="Theinhardt Regular Italic" w:hAnsi="Theinhardt Regular Italic" w:cs="Theinhardt Regular Italic" w:eastAsia="Theinhardt Regular Italic"/>
          <w:i/>
          <w:spacing w:val="29"/>
          <w:sz w:val="18"/>
          <w:szCs w:val="18"/>
        </w:rPr>
        <w:t> </w:t>
      </w:r>
      <w:r>
        <w:rPr>
          <w:rFonts w:ascii="Theinhardt Regular Italic" w:hAnsi="Theinhardt Regular Italic" w:cs="Theinhardt Regular Italic" w:eastAsia="Theinhardt Regular Italic"/>
          <w:i/>
          <w:sz w:val="18"/>
          <w:szCs w:val="18"/>
        </w:rPr>
        <w:t>en</w:t>
      </w:r>
      <w:r>
        <w:rPr>
          <w:rFonts w:ascii="Theinhardt Regular Italic" w:hAnsi="Theinhardt Regular Italic" w:cs="Theinhardt Regular Italic" w:eastAsia="Theinhardt Regular Italic"/>
          <w:i/>
          <w:spacing w:val="29"/>
          <w:sz w:val="18"/>
          <w:szCs w:val="18"/>
        </w:rPr>
        <w:t> </w:t>
      </w:r>
      <w:r>
        <w:rPr>
          <w:rFonts w:ascii="Theinhardt Regular Italic" w:hAnsi="Theinhardt Regular Italic" w:cs="Theinhardt Regular Italic" w:eastAsia="Theinhardt Regular Italic"/>
          <w:i/>
          <w:sz w:val="18"/>
          <w:szCs w:val="18"/>
        </w:rPr>
        <w:t>Europe</w:t>
      </w:r>
      <w:r>
        <w:rPr>
          <w:rFonts w:ascii="Theinhardt Regular Italic" w:hAnsi="Theinhardt Regular Italic" w:cs="Theinhardt Regular Italic" w:eastAsia="Theinhardt Regular Italic"/>
          <w:i/>
          <w:spacing w:val="28"/>
          <w:sz w:val="18"/>
          <w:szCs w:val="18"/>
        </w:rPr>
        <w:t> </w:t>
      </w:r>
      <w:r>
        <w:rPr>
          <w:rFonts w:ascii="Theinhardt Regular Italic" w:hAnsi="Theinhardt Regular Italic" w:cs="Theinhardt Regular Italic" w:eastAsia="Theinhardt Regular Italic"/>
          <w:i/>
          <w:sz w:val="18"/>
          <w:szCs w:val="18"/>
        </w:rPr>
        <w:t>et</w:t>
      </w:r>
      <w:r>
        <w:rPr>
          <w:rFonts w:ascii="Theinhardt Regular Italic" w:hAnsi="Theinhardt Regular Italic" w:cs="Theinhardt Regular Italic" w:eastAsia="Theinhardt Regular Italic"/>
          <w:i/>
          <w:sz w:val="18"/>
          <w:szCs w:val="18"/>
        </w:rPr>
        <w:t> dans</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le</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monde.</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Le</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potentiel</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économique</w:t>
      </w:r>
      <w:r>
        <w:rPr>
          <w:rFonts w:ascii="Theinhardt Regular Italic" w:hAnsi="Theinhardt Regular Italic" w:cs="Theinhardt Regular Italic" w:eastAsia="Theinhardt Regular Italic"/>
          <w:i/>
          <w:spacing w:val="6"/>
          <w:sz w:val="18"/>
          <w:szCs w:val="18"/>
        </w:rPr>
        <w:t> </w:t>
      </w:r>
      <w:r>
        <w:rPr>
          <w:rFonts w:ascii="Theinhardt Regular Italic" w:hAnsi="Theinhardt Regular Italic" w:cs="Theinhardt Regular Italic" w:eastAsia="Theinhardt Regular Italic"/>
          <w:i/>
          <w:sz w:val="18"/>
          <w:szCs w:val="18"/>
        </w:rPr>
        <w:t>et</w:t>
      </w:r>
      <w:r>
        <w:rPr>
          <w:rFonts w:ascii="Theinhardt Regular Italic" w:hAnsi="Theinhardt Regular Italic" w:cs="Theinhardt Regular Italic" w:eastAsia="Theinhardt Regular Italic"/>
          <w:i/>
          <w:sz w:val="18"/>
          <w:szCs w:val="18"/>
        </w:rPr>
        <w:t> climatique</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de</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cette</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stratégie</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sectorielle</w:t>
      </w:r>
      <w:r>
        <w:rPr>
          <w:rFonts w:ascii="Theinhardt Regular Italic" w:hAnsi="Theinhardt Regular Italic" w:cs="Theinhardt Regular Italic" w:eastAsia="Theinhardt Regular Italic"/>
          <w:i/>
          <w:spacing w:val="16"/>
          <w:sz w:val="18"/>
          <w:szCs w:val="18"/>
        </w:rPr>
        <w:t> </w:t>
      </w:r>
      <w:r>
        <w:rPr>
          <w:rFonts w:ascii="Theinhardt Regular Italic" w:hAnsi="Theinhardt Regular Italic" w:cs="Theinhardt Regular Italic" w:eastAsia="Theinhardt Regular Italic"/>
          <w:i/>
          <w:sz w:val="18"/>
          <w:szCs w:val="18"/>
        </w:rPr>
        <w:t>est</w:t>
      </w:r>
      <w:r>
        <w:rPr>
          <w:rFonts w:ascii="Theinhardt Regular Italic" w:hAnsi="Theinhardt Regular Italic" w:cs="Theinhardt Regular Italic" w:eastAsia="Theinhardt Regular Italic"/>
          <w:i/>
          <w:sz w:val="18"/>
          <w:szCs w:val="18"/>
        </w:rPr>
        <w:t> élevé.</w:t>
      </w:r>
      <w:r>
        <w:rPr>
          <w:rFonts w:ascii="Theinhardt Regular Italic" w:hAnsi="Theinhardt Regular Italic" w:cs="Theinhardt Regular Italic" w:eastAsia="Theinhardt Regular Italic"/>
          <w:i/>
          <w:spacing w:val="9"/>
          <w:sz w:val="18"/>
          <w:szCs w:val="18"/>
        </w:rPr>
        <w:t> </w:t>
      </w:r>
      <w:r>
        <w:rPr>
          <w:rFonts w:ascii="Theinhardt Regular Italic" w:hAnsi="Theinhardt Regular Italic" w:cs="Theinhardt Regular Italic" w:eastAsia="Theinhardt Regular Italic"/>
          <w:i/>
          <w:sz w:val="18"/>
          <w:szCs w:val="18"/>
        </w:rPr>
        <w:t>La</w:t>
      </w:r>
      <w:r>
        <w:rPr>
          <w:rFonts w:ascii="Theinhardt Regular Italic" w:hAnsi="Theinhardt Regular Italic" w:cs="Theinhardt Regular Italic" w:eastAsia="Theinhardt Regular Italic"/>
          <w:i/>
          <w:spacing w:val="9"/>
          <w:sz w:val="18"/>
          <w:szCs w:val="18"/>
        </w:rPr>
        <w:t> </w:t>
      </w:r>
      <w:r>
        <w:rPr>
          <w:rFonts w:ascii="Theinhardt Regular Italic" w:hAnsi="Theinhardt Regular Italic" w:cs="Theinhardt Regular Italic" w:eastAsia="Theinhardt Regular Italic"/>
          <w:i/>
          <w:sz w:val="18"/>
          <w:szCs w:val="18"/>
        </w:rPr>
        <w:t>pelleteuse</w:t>
      </w:r>
      <w:r>
        <w:rPr>
          <w:rFonts w:ascii="Theinhardt Regular Italic" w:hAnsi="Theinhardt Regular Italic" w:cs="Theinhardt Regular Italic" w:eastAsia="Theinhardt Regular Italic"/>
          <w:i/>
          <w:spacing w:val="9"/>
          <w:sz w:val="18"/>
          <w:szCs w:val="18"/>
        </w:rPr>
        <w:t> </w:t>
      </w:r>
      <w:r>
        <w:rPr>
          <w:rFonts w:ascii="Theinhardt Regular Italic" w:hAnsi="Theinhardt Regular Italic" w:cs="Theinhardt Regular Italic" w:eastAsia="Theinhardt Regular Italic"/>
          <w:i/>
          <w:sz w:val="18"/>
          <w:szCs w:val="18"/>
        </w:rPr>
        <w:t>solaire</w:t>
      </w:r>
      <w:r>
        <w:rPr>
          <w:rFonts w:ascii="Theinhardt Regular Italic" w:hAnsi="Theinhardt Regular Italic" w:cs="Theinhardt Regular Italic" w:eastAsia="Theinhardt Regular Italic"/>
          <w:i/>
          <w:spacing w:val="9"/>
          <w:sz w:val="18"/>
          <w:szCs w:val="18"/>
        </w:rPr>
        <w:t> </w:t>
      </w:r>
      <w:r>
        <w:rPr>
          <w:rFonts w:ascii="Theinhardt Regular Italic" w:hAnsi="Theinhardt Regular Italic" w:cs="Theinhardt Regular Italic" w:eastAsia="Theinhardt Regular Italic"/>
          <w:i/>
          <w:sz w:val="18"/>
          <w:szCs w:val="18"/>
        </w:rPr>
        <w:t>reçoit</w:t>
      </w:r>
      <w:r>
        <w:rPr>
          <w:rFonts w:ascii="Theinhardt Regular Italic" w:hAnsi="Theinhardt Regular Italic" w:cs="Theinhardt Regular Italic" w:eastAsia="Theinhardt Regular Italic"/>
          <w:i/>
          <w:spacing w:val="9"/>
          <w:sz w:val="18"/>
          <w:szCs w:val="18"/>
        </w:rPr>
        <w:t> </w:t>
      </w:r>
      <w:r>
        <w:rPr>
          <w:rFonts w:ascii="Theinhardt Regular Italic" w:hAnsi="Theinhardt Regular Italic" w:cs="Theinhardt Regular Italic" w:eastAsia="Theinhardt Regular Italic"/>
          <w:i/>
          <w:sz w:val="18"/>
          <w:szCs w:val="18"/>
        </w:rPr>
        <w:t>pour</w:t>
      </w:r>
      <w:r>
        <w:rPr>
          <w:rFonts w:ascii="Theinhardt Regular Italic" w:hAnsi="Theinhardt Regular Italic" w:cs="Theinhardt Regular Italic" w:eastAsia="Theinhardt Regular Italic"/>
          <w:i/>
          <w:spacing w:val="9"/>
          <w:sz w:val="18"/>
          <w:szCs w:val="18"/>
        </w:rPr>
        <w:t> </w:t>
      </w:r>
      <w:r>
        <w:rPr>
          <w:rFonts w:ascii="Theinhardt Regular Italic" w:hAnsi="Theinhardt Regular Italic" w:cs="Theinhardt Regular Italic" w:eastAsia="Theinhardt Regular Italic"/>
          <w:i/>
          <w:sz w:val="18"/>
          <w:szCs w:val="18"/>
        </w:rPr>
        <w:t>cela</w:t>
      </w:r>
      <w:r>
        <w:rPr>
          <w:rFonts w:ascii="Theinhardt Regular Italic" w:hAnsi="Theinhardt Regular Italic" w:cs="Theinhardt Regular Italic" w:eastAsia="Theinhardt Regular Italic"/>
          <w:i/>
          <w:sz w:val="18"/>
          <w:szCs w:val="18"/>
        </w:rPr>
        <w:t> le Prix Solaire 2015.</w:t>
      </w:r>
      <w:r>
        <w:rPr>
          <w:rFonts w:ascii="Theinhardt Regular Italic" w:hAnsi="Theinhardt Regular Italic" w:cs="Theinhardt Regular Italic" w:eastAsia="Theinhardt Regular Italic"/>
          <w:sz w:val="18"/>
          <w:szCs w:val="18"/>
        </w:rPr>
      </w:r>
    </w:p>
    <w:p>
      <w:pPr>
        <w:spacing w:line="64" w:lineRule="exact" w:before="0"/>
        <w:ind w:left="0" w:right="341" w:firstLine="0"/>
        <w:jc w:val="right"/>
        <w:rPr>
          <w:rFonts w:ascii="Theinhardt Regular" w:hAnsi="Theinhardt Regular" w:cs="Theinhardt Regular" w:eastAsia="Theinhardt Regular"/>
          <w:sz w:val="8"/>
          <w:szCs w:val="8"/>
        </w:rPr>
      </w:pPr>
      <w:r>
        <w:rPr/>
        <w:br w:type="column"/>
      </w:r>
      <w:r>
        <w:rPr>
          <w:rFonts w:ascii="Theinhardt Regular"/>
          <w:sz w:val="8"/>
        </w:rPr>
        <w:t>2</w:t>
      </w:r>
      <w:r>
        <w:rPr>
          <w:rFonts w:ascii="Theinhardt Regular"/>
          <w:sz w:val="8"/>
        </w:rPr>
      </w:r>
    </w:p>
    <w:p>
      <w:pPr>
        <w:tabs>
          <w:tab w:pos="2118" w:val="left" w:leader="none"/>
          <w:tab w:pos="3023" w:val="left" w:leader="none"/>
        </w:tabs>
        <w:spacing w:line="147" w:lineRule="exact" w:before="0"/>
        <w:ind w:left="107" w:right="0" w:firstLine="0"/>
        <w:jc w:val="left"/>
        <w:rPr>
          <w:rFonts w:ascii="Theinhardt Regular" w:hAnsi="Theinhardt Regular" w:cs="Theinhardt Regular" w:eastAsia="Theinhardt Regular"/>
          <w:sz w:val="14"/>
          <w:szCs w:val="14"/>
        </w:rPr>
      </w:pPr>
      <w:r>
        <w:rPr>
          <w:rFonts w:ascii="Theinhardt Regular"/>
          <w:spacing w:val="3"/>
          <w:sz w:val="14"/>
        </w:rPr>
        <w:t>S</w:t>
      </w:r>
      <w:r>
        <w:rPr>
          <w:rFonts w:ascii="Theinhardt Regular"/>
          <w:spacing w:val="2"/>
          <w:sz w:val="14"/>
        </w:rPr>
        <w:t>o</w:t>
      </w:r>
      <w:r>
        <w:rPr>
          <w:rFonts w:ascii="Theinhardt Regular"/>
          <w:spacing w:val="3"/>
          <w:sz w:val="14"/>
        </w:rPr>
        <w:t>l</w:t>
      </w:r>
      <w:r>
        <w:rPr>
          <w:rFonts w:ascii="Theinhardt Regular"/>
          <w:spacing w:val="1"/>
          <w:sz w:val="14"/>
        </w:rPr>
        <w:t>a</w:t>
      </w:r>
      <w:r>
        <w:rPr>
          <w:rFonts w:ascii="Theinhardt Regular"/>
          <w:spacing w:val="3"/>
          <w:sz w:val="14"/>
        </w:rPr>
        <w:t>rb</w:t>
      </w:r>
      <w:r>
        <w:rPr>
          <w:rFonts w:ascii="Theinhardt Regular"/>
          <w:spacing w:val="1"/>
          <w:sz w:val="14"/>
        </w:rPr>
        <w:t>a</w:t>
      </w:r>
      <w:r>
        <w:rPr>
          <w:rFonts w:ascii="Theinhardt Regular"/>
          <w:spacing w:val="2"/>
          <w:sz w:val="14"/>
        </w:rPr>
        <w:t>gger</w:t>
      </w:r>
      <w:r>
        <w:rPr>
          <w:rFonts w:ascii="Theinhardt Regular"/>
          <w:sz w:val="14"/>
        </w:rPr>
        <w:t>:</w:t>
        <w:tab/>
      </w:r>
      <w:r>
        <w:rPr>
          <w:rFonts w:ascii="Theinhardt Regular"/>
          <w:spacing w:val="-3"/>
          <w:sz w:val="14"/>
        </w:rPr>
        <w:t>2</w:t>
      </w:r>
      <w:r>
        <w:rPr>
          <w:rFonts w:ascii="Theinhardt Regular"/>
          <w:spacing w:val="3"/>
          <w:sz w:val="14"/>
        </w:rPr>
        <w:t>4</w:t>
      </w:r>
      <w:r>
        <w:rPr>
          <w:rFonts w:ascii="Theinhardt Regular"/>
          <w:sz w:val="14"/>
        </w:rPr>
        <w:t>0</w:t>
        <w:tab/>
        <w:t>0.0</w:t>
      </w:r>
    </w:p>
    <w:p>
      <w:pPr>
        <w:tabs>
          <w:tab w:pos="2111" w:val="left" w:leader="none"/>
          <w:tab w:pos="3220" w:val="right" w:leader="none"/>
        </w:tabs>
        <w:spacing w:line="172" w:lineRule="exact" w:before="0"/>
        <w:ind w:left="107" w:right="0" w:firstLine="0"/>
        <w:jc w:val="left"/>
        <w:rPr>
          <w:rFonts w:ascii="Theinhardt Regular" w:hAnsi="Theinhardt Regular" w:cs="Theinhardt Regular" w:eastAsia="Theinhardt Regular"/>
          <w:sz w:val="14"/>
          <w:szCs w:val="14"/>
        </w:rPr>
      </w:pPr>
      <w:r>
        <w:rPr>
          <w:rFonts w:ascii="Theinhardt Regular"/>
          <w:w w:val="95"/>
          <w:sz w:val="14"/>
        </w:rPr>
        <w:t>Dieselbagger:</w:t>
        <w:tab/>
      </w:r>
      <w:r>
        <w:rPr>
          <w:rFonts w:ascii="Theinhardt Regular"/>
          <w:spacing w:val="2"/>
          <w:sz w:val="14"/>
        </w:rPr>
        <w:t>900</w:t>
        <w:tab/>
      </w:r>
      <w:r>
        <w:rPr>
          <w:rFonts w:ascii="Theinhardt Regular"/>
          <w:spacing w:val="-7"/>
          <w:sz w:val="14"/>
        </w:rPr>
        <w:t>315</w:t>
      </w:r>
      <w:r>
        <w:rPr>
          <w:rFonts w:ascii="Theinhardt Regular"/>
          <w:sz w:val="14"/>
        </w:rPr>
      </w:r>
    </w:p>
    <w:p>
      <w:pPr>
        <w:tabs>
          <w:tab w:pos="1897" w:val="left" w:leader="none"/>
          <w:tab w:pos="2096" w:val="left" w:leader="none"/>
          <w:tab w:pos="2801" w:val="left" w:leader="none"/>
          <w:tab w:pos="3017" w:val="left" w:leader="none"/>
        </w:tabs>
        <w:spacing w:line="179" w:lineRule="auto" w:before="69"/>
        <w:ind w:left="107" w:right="341" w:firstLine="0"/>
        <w:jc w:val="left"/>
        <w:rPr>
          <w:rFonts w:ascii="Theinhardt Bold" w:hAnsi="Theinhardt Bold" w:cs="Theinhardt Bold" w:eastAsia="Theinhardt Bold"/>
          <w:sz w:val="14"/>
          <w:szCs w:val="14"/>
        </w:rPr>
      </w:pPr>
      <w:r>
        <w:rPr>
          <w:rFonts w:ascii="Theinhardt Bold" w:hAnsi="Theinhardt Bold" w:cs="Theinhardt Bold" w:eastAsia="Theinhardt Bold"/>
          <w:b/>
          <w:bCs/>
          <w:spacing w:val="1"/>
          <w:sz w:val="14"/>
          <w:szCs w:val="14"/>
        </w:rPr>
        <w:t>Energieverbrauch/Jahr</w:t>
        <w:tab/>
        <w:tab/>
      </w:r>
      <w:r>
        <w:rPr>
          <w:rFonts w:ascii="Theinhardt Regular" w:hAnsi="Theinhardt Regular" w:cs="Theinhardt Regular" w:eastAsia="Theinhardt Regular"/>
          <w:spacing w:val="1"/>
          <w:w w:val="95"/>
          <w:sz w:val="14"/>
          <w:szCs w:val="14"/>
        </w:rPr>
        <w:t>kWh</w:t>
        <w:tab/>
      </w:r>
      <w:r>
        <w:rPr>
          <w:rFonts w:ascii="Theinhardt Regular" w:hAnsi="Theinhardt Regular" w:cs="Theinhardt Regular" w:eastAsia="Theinhardt Regular"/>
          <w:sz w:val="14"/>
          <w:szCs w:val="14"/>
        </w:rPr>
        <w:t>kg CO</w:t>
      </w:r>
      <w:r>
        <w:rPr>
          <w:rFonts w:ascii="Theinhardt Regular" w:hAnsi="Theinhardt Regular" w:cs="Theinhardt Regular" w:eastAsia="Theinhardt Regular"/>
          <w:position w:val="-4"/>
          <w:sz w:val="8"/>
          <w:szCs w:val="8"/>
        </w:rPr>
        <w:t>2</w:t>
      </w:r>
      <w:r>
        <w:rPr>
          <w:rFonts w:ascii="Theinhardt Regular" w:hAnsi="Theinhardt Regular" w:cs="Theinhardt Regular" w:eastAsia="Theinhardt Regular"/>
          <w:spacing w:val="26"/>
          <w:w w:val="102"/>
          <w:position w:val="-4"/>
          <w:sz w:val="8"/>
          <w:szCs w:val="8"/>
        </w:rPr>
        <w:t> </w:t>
      </w:r>
      <w:r>
        <w:rPr>
          <w:rFonts w:ascii="Theinhardt Regular" w:hAnsi="Theinhardt Regular" w:cs="Theinhardt Regular" w:eastAsia="Theinhardt Regular"/>
          <w:spacing w:val="2"/>
          <w:sz w:val="14"/>
          <w:szCs w:val="14"/>
        </w:rPr>
        <w:t>Solarbagger:</w:t>
        <w:tab/>
      </w:r>
      <w:r>
        <w:rPr>
          <w:rFonts w:ascii="Theinhardt Bold" w:hAnsi="Theinhardt Bold" w:cs="Theinhardt Bold" w:eastAsia="Theinhardt Bold"/>
          <w:b/>
          <w:bCs/>
          <w:spacing w:val="2"/>
          <w:sz w:val="14"/>
          <w:szCs w:val="14"/>
        </w:rPr>
        <w:t>30’000</w:t>
        <w:tab/>
        <w:tab/>
      </w:r>
      <w:r>
        <w:rPr>
          <w:rFonts w:ascii="Theinhardt Bold" w:hAnsi="Theinhardt Bold" w:cs="Theinhardt Bold" w:eastAsia="Theinhardt Bold"/>
          <w:b/>
          <w:bCs/>
          <w:sz w:val="14"/>
          <w:szCs w:val="14"/>
        </w:rPr>
        <w:t>0.0</w:t>
      </w:r>
      <w:r>
        <w:rPr>
          <w:rFonts w:ascii="Theinhardt Bold" w:hAnsi="Theinhardt Bold" w:cs="Theinhardt Bold" w:eastAsia="Theinhardt Bold"/>
          <w:sz w:val="14"/>
          <w:szCs w:val="14"/>
        </w:rPr>
      </w:r>
    </w:p>
    <w:p>
      <w:pPr>
        <w:tabs>
          <w:tab w:pos="1818" w:val="left" w:leader="none"/>
          <w:tab w:pos="2756" w:val="left" w:leader="none"/>
        </w:tabs>
        <w:spacing w:line="172" w:lineRule="exact" w:before="0"/>
        <w:ind w:left="106" w:right="0" w:firstLine="0"/>
        <w:jc w:val="left"/>
        <w:rPr>
          <w:rFonts w:ascii="Theinhardt Bold" w:hAnsi="Theinhardt Bold" w:cs="Theinhardt Bold" w:eastAsia="Theinhardt Bold"/>
          <w:sz w:val="14"/>
          <w:szCs w:val="14"/>
        </w:rPr>
      </w:pPr>
      <w:r>
        <w:rPr>
          <w:rFonts w:ascii="Theinhardt Regular" w:hAnsi="Theinhardt Regular" w:cs="Theinhardt Regular" w:eastAsia="Theinhardt Regular"/>
          <w:w w:val="95"/>
          <w:sz w:val="14"/>
          <w:szCs w:val="14"/>
        </w:rPr>
        <w:t>Dieselbagger:</w:t>
        <w:tab/>
      </w:r>
      <w:r>
        <w:rPr>
          <w:rFonts w:ascii="Theinhardt Bold" w:hAnsi="Theinhardt Bold" w:cs="Theinhardt Bold" w:eastAsia="Theinhardt Bold"/>
          <w:b/>
          <w:bCs/>
          <w:spacing w:val="1"/>
          <w:sz w:val="14"/>
          <w:szCs w:val="14"/>
        </w:rPr>
        <w:t>150’000</w:t>
        <w:tab/>
      </w:r>
      <w:r>
        <w:rPr>
          <w:rFonts w:ascii="Theinhardt Bold" w:hAnsi="Theinhardt Bold" w:cs="Theinhardt Bold" w:eastAsia="Theinhardt Bold"/>
          <w:b/>
          <w:bCs/>
          <w:spacing w:val="2"/>
          <w:sz w:val="14"/>
          <w:szCs w:val="14"/>
        </w:rPr>
        <w:t>40’000</w:t>
      </w:r>
      <w:r>
        <w:rPr>
          <w:rFonts w:ascii="Theinhardt Bold" w:hAnsi="Theinhardt Bold" w:cs="Theinhardt Bold" w:eastAsia="Theinhardt Bold"/>
          <w:sz w:val="14"/>
          <w:szCs w:val="14"/>
        </w:rPr>
      </w:r>
    </w:p>
    <w:p>
      <w:pPr>
        <w:spacing w:line="172" w:lineRule="exact" w:before="35"/>
        <w:ind w:left="106" w:right="0" w:firstLine="0"/>
        <w:jc w:val="left"/>
        <w:rPr>
          <w:rFonts w:ascii="Theinhardt Bold" w:hAnsi="Theinhardt Bold" w:cs="Theinhardt Bold" w:eastAsia="Theinhardt Bold"/>
          <w:sz w:val="14"/>
          <w:szCs w:val="14"/>
        </w:rPr>
      </w:pPr>
      <w:r>
        <w:rPr>
          <w:rFonts w:ascii="Theinhardt Bold"/>
          <w:b/>
          <w:spacing w:val="1"/>
          <w:sz w:val="14"/>
        </w:rPr>
        <w:t>Treibstoffkosten/Jahr</w:t>
      </w:r>
      <w:r>
        <w:rPr>
          <w:rFonts w:ascii="Theinhardt Bold"/>
          <w:sz w:val="14"/>
        </w:rPr>
      </w:r>
    </w:p>
    <w:p>
      <w:pPr>
        <w:tabs>
          <w:tab w:pos="2540" w:val="left" w:leader="none"/>
        </w:tabs>
        <w:spacing w:line="160" w:lineRule="exact" w:before="0"/>
        <w:ind w:left="106" w:right="0" w:firstLine="0"/>
        <w:jc w:val="left"/>
        <w:rPr>
          <w:rFonts w:ascii="Theinhardt Regular" w:hAnsi="Theinhardt Regular" w:cs="Theinhardt Regular" w:eastAsia="Theinhardt Regular"/>
          <w:sz w:val="14"/>
          <w:szCs w:val="14"/>
        </w:rPr>
      </w:pPr>
      <w:r>
        <w:rPr>
          <w:rFonts w:ascii="Theinhardt Regular" w:hAnsi="Theinhardt Regular" w:cs="Theinhardt Regular" w:eastAsia="Theinhardt Regular"/>
          <w:spacing w:val="1"/>
          <w:sz w:val="14"/>
          <w:szCs w:val="14"/>
        </w:rPr>
        <w:t>Solarbagger,</w:t>
      </w:r>
      <w:r>
        <w:rPr>
          <w:rFonts w:ascii="Theinhardt Regular" w:hAnsi="Theinhardt Regular" w:cs="Theinhardt Regular" w:eastAsia="Theinhardt Regular"/>
          <w:sz w:val="14"/>
          <w:szCs w:val="14"/>
        </w:rPr>
        <w:t> </w:t>
      </w:r>
      <w:r>
        <w:rPr>
          <w:rFonts w:ascii="Theinhardt Regular" w:hAnsi="Theinhardt Regular" w:cs="Theinhardt Regular" w:eastAsia="Theinhardt Regular"/>
          <w:spacing w:val="2"/>
          <w:sz w:val="14"/>
          <w:szCs w:val="14"/>
        </w:rPr>
        <w:t>Solarstrom:</w:t>
        <w:tab/>
      </w:r>
      <w:r>
        <w:rPr>
          <w:rFonts w:ascii="Theinhardt Regular" w:hAnsi="Theinhardt Regular" w:cs="Theinhardt Regular" w:eastAsia="Theinhardt Regular"/>
          <w:spacing w:val="1"/>
          <w:sz w:val="14"/>
          <w:szCs w:val="14"/>
        </w:rPr>
        <w:t>3’000</w:t>
      </w:r>
      <w:r>
        <w:rPr>
          <w:rFonts w:ascii="Theinhardt Regular" w:hAnsi="Theinhardt Regular" w:cs="Theinhardt Regular" w:eastAsia="Theinhardt Regular"/>
          <w:sz w:val="14"/>
          <w:szCs w:val="14"/>
        </w:rPr>
        <w:t> </w:t>
      </w:r>
      <w:r>
        <w:rPr>
          <w:rFonts w:ascii="Theinhardt Regular" w:hAnsi="Theinhardt Regular" w:cs="Theinhardt Regular" w:eastAsia="Theinhardt Regular"/>
          <w:spacing w:val="1"/>
          <w:sz w:val="14"/>
          <w:szCs w:val="14"/>
        </w:rPr>
        <w:t>CHF</w:t>
      </w:r>
    </w:p>
    <w:p>
      <w:pPr>
        <w:tabs>
          <w:tab w:pos="2464" w:val="left" w:leader="none"/>
        </w:tabs>
        <w:spacing w:line="172" w:lineRule="exact" w:before="0"/>
        <w:ind w:left="106" w:right="0" w:firstLine="0"/>
        <w:jc w:val="left"/>
        <w:rPr>
          <w:rFonts w:ascii="Theinhardt Regular" w:hAnsi="Theinhardt Regular" w:cs="Theinhardt Regular" w:eastAsia="Theinhardt Regular"/>
          <w:sz w:val="14"/>
          <w:szCs w:val="14"/>
        </w:rPr>
      </w:pPr>
      <w:r>
        <w:rPr>
          <w:rFonts w:ascii="Theinhardt Regular" w:hAnsi="Theinhardt Regular" w:cs="Theinhardt Regular" w:eastAsia="Theinhardt Regular"/>
          <w:spacing w:val="1"/>
          <w:sz w:val="14"/>
          <w:szCs w:val="14"/>
        </w:rPr>
        <w:t>Dieselbagger,</w:t>
      </w:r>
      <w:r>
        <w:rPr>
          <w:rFonts w:ascii="Theinhardt Regular" w:hAnsi="Theinhardt Regular" w:cs="Theinhardt Regular" w:eastAsia="Theinhardt Regular"/>
          <w:sz w:val="14"/>
          <w:szCs w:val="14"/>
        </w:rPr>
        <w:t> </w:t>
      </w:r>
      <w:r>
        <w:rPr>
          <w:rFonts w:ascii="Theinhardt Regular" w:hAnsi="Theinhardt Regular" w:cs="Theinhardt Regular" w:eastAsia="Theinhardt Regular"/>
          <w:spacing w:val="1"/>
          <w:sz w:val="14"/>
          <w:szCs w:val="14"/>
        </w:rPr>
        <w:t>Diesel:</w:t>
        <w:tab/>
      </w:r>
      <w:r>
        <w:rPr>
          <w:rFonts w:ascii="Theinhardt Regular" w:hAnsi="Theinhardt Regular" w:cs="Theinhardt Regular" w:eastAsia="Theinhardt Regular"/>
          <w:sz w:val="14"/>
          <w:szCs w:val="14"/>
        </w:rPr>
        <w:t>24’000 </w:t>
      </w:r>
      <w:r>
        <w:rPr>
          <w:rFonts w:ascii="Theinhardt Regular" w:hAnsi="Theinhardt Regular" w:cs="Theinhardt Regular" w:eastAsia="Theinhardt Regular"/>
          <w:spacing w:val="1"/>
          <w:sz w:val="14"/>
          <w:szCs w:val="14"/>
        </w:rPr>
        <w:t>CHF</w:t>
      </w:r>
    </w:p>
    <w:p>
      <w:pPr>
        <w:spacing w:line="172" w:lineRule="exact" w:before="35"/>
        <w:ind w:left="106" w:right="0" w:firstLine="0"/>
        <w:jc w:val="left"/>
        <w:rPr>
          <w:rFonts w:ascii="Theinhardt Bold" w:hAnsi="Theinhardt Bold" w:cs="Theinhardt Bold" w:eastAsia="Theinhardt Bold"/>
          <w:sz w:val="14"/>
          <w:szCs w:val="14"/>
        </w:rPr>
      </w:pPr>
      <w:r>
        <w:rPr>
          <w:rFonts w:ascii="Theinhardt Bold"/>
          <w:b/>
          <w:spacing w:val="2"/>
          <w:sz w:val="14"/>
        </w:rPr>
        <w:t>PV-Stromproduktion</w:t>
      </w:r>
      <w:r>
        <w:rPr>
          <w:rFonts w:ascii="Theinhardt Bold"/>
          <w:sz w:val="14"/>
        </w:rPr>
      </w:r>
    </w:p>
    <w:p>
      <w:pPr>
        <w:tabs>
          <w:tab w:pos="2072" w:val="left" w:leader="none"/>
          <w:tab w:pos="2239" w:val="left" w:leader="none"/>
        </w:tabs>
        <w:spacing w:line="207" w:lineRule="auto" w:before="6"/>
        <w:ind w:left="106" w:right="342" w:firstLine="0"/>
        <w:jc w:val="both"/>
        <w:rPr>
          <w:rFonts w:ascii="Theinhardt Bold" w:hAnsi="Theinhardt Bold" w:cs="Theinhardt Bold" w:eastAsia="Theinhardt Bold"/>
          <w:sz w:val="14"/>
          <w:szCs w:val="14"/>
        </w:rPr>
      </w:pPr>
      <w:r>
        <w:rPr>
          <w:rFonts w:ascii="Theinhardt Regular" w:hAnsi="Theinhardt Regular" w:cs="Theinhardt Regular" w:eastAsia="Theinhardt Regular"/>
          <w:spacing w:val="2"/>
          <w:sz w:val="14"/>
          <w:szCs w:val="14"/>
        </w:rPr>
        <w:t>Affentranger</w:t>
      </w:r>
      <w:r>
        <w:rPr>
          <w:rFonts w:ascii="Theinhardt Regular" w:hAnsi="Theinhardt Regular" w:cs="Theinhardt Regular" w:eastAsia="Theinhardt Regular"/>
          <w:sz w:val="14"/>
          <w:szCs w:val="14"/>
        </w:rPr>
        <w:t> </w:t>
      </w:r>
      <w:r>
        <w:rPr>
          <w:rFonts w:ascii="Theinhardt Regular" w:hAnsi="Theinhardt Regular" w:cs="Theinhardt Regular" w:eastAsia="Theinhardt Regular"/>
          <w:spacing w:val="1"/>
          <w:sz w:val="14"/>
          <w:szCs w:val="14"/>
        </w:rPr>
        <w:t>Bau</w:t>
      </w:r>
      <w:r>
        <w:rPr>
          <w:rFonts w:ascii="Theinhardt Regular" w:hAnsi="Theinhardt Regular" w:cs="Theinhardt Regular" w:eastAsia="Theinhardt Regular"/>
          <w:sz w:val="14"/>
          <w:szCs w:val="14"/>
        </w:rPr>
        <w:t> AG:</w:t>
        <w:tab/>
        <w:tab/>
      </w:r>
      <w:r>
        <w:rPr>
          <w:rFonts w:ascii="Theinhardt Regular" w:hAnsi="Theinhardt Regular" w:cs="Theinhardt Regular" w:eastAsia="Theinhardt Regular"/>
          <w:spacing w:val="1"/>
          <w:sz w:val="14"/>
          <w:szCs w:val="14"/>
        </w:rPr>
        <w:t>820’000</w:t>
      </w:r>
      <w:r>
        <w:rPr>
          <w:rFonts w:ascii="Theinhardt Regular" w:hAnsi="Theinhardt Regular" w:cs="Theinhardt Regular" w:eastAsia="Theinhardt Regular"/>
          <w:sz w:val="14"/>
          <w:szCs w:val="14"/>
        </w:rPr>
        <w:t> kWh/a</w:t>
      </w:r>
      <w:r>
        <w:rPr>
          <w:rFonts w:ascii="Theinhardt Regular" w:hAnsi="Theinhardt Regular" w:cs="Theinhardt Regular" w:eastAsia="Theinhardt Regular"/>
          <w:spacing w:val="24"/>
          <w:sz w:val="14"/>
          <w:szCs w:val="14"/>
        </w:rPr>
        <w:t> </w:t>
      </w:r>
      <w:r>
        <w:rPr>
          <w:rFonts w:ascii="Theinhardt Regular" w:hAnsi="Theinhardt Regular" w:cs="Theinhardt Regular" w:eastAsia="Theinhardt Regular"/>
          <w:spacing w:val="1"/>
          <w:sz w:val="14"/>
          <w:szCs w:val="14"/>
        </w:rPr>
        <w:t>Swiss</w:t>
      </w:r>
      <w:r>
        <w:rPr>
          <w:rFonts w:ascii="Theinhardt Regular" w:hAnsi="Theinhardt Regular" w:cs="Theinhardt Regular" w:eastAsia="Theinhardt Regular"/>
          <w:sz w:val="14"/>
          <w:szCs w:val="14"/>
        </w:rPr>
        <w:t> </w:t>
      </w:r>
      <w:r>
        <w:rPr>
          <w:rFonts w:ascii="Theinhardt Regular" w:hAnsi="Theinhardt Regular" w:cs="Theinhardt Regular" w:eastAsia="Theinhardt Regular"/>
          <w:spacing w:val="1"/>
          <w:sz w:val="14"/>
          <w:szCs w:val="14"/>
        </w:rPr>
        <w:t>Clean</w:t>
      </w:r>
      <w:r>
        <w:rPr>
          <w:rFonts w:ascii="Theinhardt Regular" w:hAnsi="Theinhardt Regular" w:cs="Theinhardt Regular" w:eastAsia="Theinhardt Regular"/>
          <w:sz w:val="14"/>
          <w:szCs w:val="14"/>
        </w:rPr>
        <w:t> </w:t>
      </w:r>
      <w:r>
        <w:rPr>
          <w:rFonts w:ascii="Theinhardt Regular" w:hAnsi="Theinhardt Regular" w:cs="Theinhardt Regular" w:eastAsia="Theinhardt Regular"/>
          <w:spacing w:val="1"/>
          <w:sz w:val="14"/>
          <w:szCs w:val="14"/>
        </w:rPr>
        <w:t>Power</w:t>
      </w:r>
      <w:r>
        <w:rPr>
          <w:rFonts w:ascii="Theinhardt Regular" w:hAnsi="Theinhardt Regular" w:cs="Theinhardt Regular" w:eastAsia="Theinhardt Regular"/>
          <w:sz w:val="14"/>
          <w:szCs w:val="14"/>
        </w:rPr>
        <w:t> AG:</w:t>
        <w:tab/>
        <w:t>2’400’000 kWh/a</w:t>
      </w:r>
      <w:r>
        <w:rPr>
          <w:rFonts w:ascii="Theinhardt Regular" w:hAnsi="Theinhardt Regular" w:cs="Theinhardt Regular" w:eastAsia="Theinhardt Regular"/>
          <w:spacing w:val="34"/>
          <w:sz w:val="14"/>
          <w:szCs w:val="14"/>
        </w:rPr>
        <w:t> </w:t>
      </w:r>
      <w:r>
        <w:rPr>
          <w:rFonts w:ascii="Theinhardt Regular" w:hAnsi="Theinhardt Regular" w:cs="Theinhardt Regular" w:eastAsia="Theinhardt Regular"/>
          <w:sz w:val="14"/>
          <w:szCs w:val="14"/>
        </w:rPr>
        <w:t>Total:</w:t>
        <w:tab/>
      </w:r>
      <w:r>
        <w:rPr>
          <w:rFonts w:ascii="Theinhardt Bold" w:hAnsi="Theinhardt Bold" w:cs="Theinhardt Bold" w:eastAsia="Theinhardt Bold"/>
          <w:b/>
          <w:bCs/>
          <w:spacing w:val="1"/>
          <w:sz w:val="14"/>
          <w:szCs w:val="14"/>
        </w:rPr>
        <w:t>3’220’000</w:t>
      </w:r>
      <w:r>
        <w:rPr>
          <w:rFonts w:ascii="Theinhardt Bold" w:hAnsi="Theinhardt Bold" w:cs="Theinhardt Bold" w:eastAsia="Theinhardt Bold"/>
          <w:b/>
          <w:bCs/>
          <w:sz w:val="14"/>
          <w:szCs w:val="14"/>
        </w:rPr>
        <w:t> kWh/a</w:t>
      </w:r>
      <w:r>
        <w:rPr>
          <w:rFonts w:ascii="Theinhardt Bold" w:hAnsi="Theinhardt Bold" w:cs="Theinhardt Bold" w:eastAsia="Theinhardt Bold"/>
          <w:sz w:val="14"/>
          <w:szCs w:val="14"/>
        </w:rPr>
      </w:r>
    </w:p>
    <w:p>
      <w:pPr>
        <w:spacing w:line="240" w:lineRule="auto" w:before="10"/>
        <w:rPr>
          <w:rFonts w:ascii="Theinhardt Bold" w:hAnsi="Theinhardt Bold" w:cs="Theinhardt Bold" w:eastAsia="Theinhardt Bold"/>
          <w:b/>
          <w:bCs/>
          <w:sz w:val="10"/>
          <w:szCs w:val="10"/>
        </w:rPr>
      </w:pPr>
    </w:p>
    <w:p>
      <w:pPr>
        <w:tabs>
          <w:tab w:pos="3439" w:val="left" w:leader="none"/>
        </w:tabs>
        <w:spacing w:before="0"/>
        <w:ind w:left="107" w:right="0" w:firstLine="0"/>
        <w:jc w:val="left"/>
        <w:rPr>
          <w:rFonts w:ascii="Theinhardt Black" w:hAnsi="Theinhardt Black" w:cs="Theinhardt Black" w:eastAsia="Theinhardt Black"/>
          <w:sz w:val="14"/>
          <w:szCs w:val="14"/>
        </w:rPr>
      </w:pPr>
      <w:r>
        <w:rPr>
          <w:rFonts w:ascii="Theinhardt Black"/>
          <w:b/>
          <w:sz w:val="14"/>
        </w:rPr>
      </w:r>
      <w:r>
        <w:rPr>
          <w:rFonts w:ascii="Theinhardt Black"/>
          <w:b/>
          <w:spacing w:val="2"/>
          <w:sz w:val="14"/>
          <w:u w:val="dotted" w:color="000000"/>
        </w:rPr>
        <w:t>Beteiligte</w:t>
      </w:r>
      <w:r>
        <w:rPr>
          <w:rFonts w:ascii="Theinhardt Black"/>
          <w:b/>
          <w:sz w:val="14"/>
          <w:u w:val="dotted" w:color="000000"/>
        </w:rPr>
        <w:t> </w:t>
      </w:r>
      <w:r>
        <w:rPr>
          <w:rFonts w:ascii="Theinhardt Black"/>
          <w:b/>
          <w:spacing w:val="2"/>
          <w:sz w:val="14"/>
          <w:u w:val="dotted" w:color="000000"/>
        </w:rPr>
        <w:t>Personen</w:t>
      </w:r>
      <w:r>
        <w:rPr>
          <w:rFonts w:ascii="Theinhardt Black"/>
          <w:b/>
          <w:sz w:val="14"/>
          <w:u w:val="dotted" w:color="000000"/>
        </w:rPr>
        <w:t> </w:t>
        <w:tab/>
      </w:r>
      <w:r>
        <w:rPr>
          <w:rFonts w:ascii="Theinhardt Black"/>
          <w:b/>
          <w:sz w:val="14"/>
        </w:rPr>
      </w:r>
      <w:r>
        <w:rPr>
          <w:rFonts w:ascii="Theinhardt Black"/>
          <w:sz w:val="14"/>
        </w:rPr>
      </w:r>
    </w:p>
    <w:p>
      <w:pPr>
        <w:spacing w:line="240" w:lineRule="auto" w:before="10"/>
        <w:rPr>
          <w:rFonts w:ascii="Theinhardt Black" w:hAnsi="Theinhardt Black" w:cs="Theinhardt Black" w:eastAsia="Theinhardt Black"/>
          <w:b/>
          <w:bCs/>
          <w:sz w:val="2"/>
          <w:szCs w:val="2"/>
        </w:rPr>
      </w:pPr>
    </w:p>
    <w:p>
      <w:pPr>
        <w:tabs>
          <w:tab w:pos="3443" w:val="left" w:leader="none"/>
        </w:tabs>
        <w:spacing w:line="20" w:lineRule="atLeast"/>
        <w:ind w:left="107" w:right="0" w:firstLine="0"/>
        <w:rPr>
          <w:rFonts w:ascii="Theinhardt Black" w:hAnsi="Theinhardt Black" w:cs="Theinhardt Black" w:eastAsia="Theinhardt Black"/>
          <w:sz w:val="2"/>
          <w:szCs w:val="2"/>
        </w:rPr>
      </w:pPr>
      <w:r>
        <w:rPr>
          <w:rFonts w:ascii="Theinhardt Black"/>
          <w:sz w:val="2"/>
        </w:rPr>
        <w:pict>
          <v:group style="width:.45pt;height:.45pt;mso-position-horizontal-relative:char;mso-position-vertical-relative:line" coordorigin="0,0" coordsize="9,9">
            <v:group style="position:absolute;left:4;top:4;width:2;height:2" coordorigin="4,4" coordsize="2,2">
              <v:shape style="position:absolute;left:4;top:4;width:2;height:2" coordorigin="4,4" coordsize="0,0" path="m4,4l4,4e" filled="false" stroked="true" strokeweight=".425pt" strokecolor="#000000">
                <v:path arrowok="t"/>
              </v:shape>
            </v:group>
          </v:group>
        </w:pict>
      </w:r>
      <w:r>
        <w:rPr>
          <w:rFonts w:ascii="Theinhardt Black"/>
          <w:sz w:val="2"/>
        </w:rPr>
      </w:r>
      <w:r>
        <w:rPr>
          <w:rFonts w:ascii="Theinhardt Black"/>
          <w:sz w:val="2"/>
        </w:rPr>
        <w:tab/>
      </w:r>
      <w:r>
        <w:rPr>
          <w:rFonts w:ascii="Theinhardt Black"/>
          <w:sz w:val="2"/>
        </w:rPr>
        <w:pict>
          <v:group style="width:.45pt;height:.45pt;mso-position-horizontal-relative:char;mso-position-vertical-relative:line" coordorigin="0,0" coordsize="9,9">
            <v:group style="position:absolute;left:4;top:4;width:2;height:2" coordorigin="4,4" coordsize="2,2">
              <v:shape style="position:absolute;left:4;top:4;width:2;height:2" coordorigin="4,4" coordsize="0,0" path="m4,4l4,4e" filled="false" stroked="true" strokeweight=".425pt" strokecolor="#000000">
                <v:path arrowok="t"/>
              </v:shape>
            </v:group>
          </v:group>
        </w:pict>
      </w:r>
      <w:r>
        <w:rPr>
          <w:rFonts w:ascii="Theinhardt Black"/>
          <w:sz w:val="2"/>
        </w:rPr>
      </w:r>
    </w:p>
    <w:p>
      <w:pPr>
        <w:spacing w:line="172" w:lineRule="exact" w:before="67"/>
        <w:ind w:left="107" w:right="0" w:firstLine="0"/>
        <w:jc w:val="left"/>
        <w:rPr>
          <w:rFonts w:ascii="Theinhardt Bold" w:hAnsi="Theinhardt Bold" w:cs="Theinhardt Bold" w:eastAsia="Theinhardt Bold"/>
          <w:sz w:val="14"/>
          <w:szCs w:val="14"/>
        </w:rPr>
      </w:pPr>
      <w:r>
        <w:rPr>
          <w:rFonts w:ascii="Theinhardt Bold" w:hAnsi="Theinhardt Bold"/>
          <w:b/>
          <w:sz w:val="14"/>
        </w:rPr>
        <w:t>Eigentümer:</w:t>
      </w:r>
      <w:r>
        <w:rPr>
          <w:rFonts w:ascii="Theinhardt Bold" w:hAnsi="Theinhardt Bold"/>
          <w:sz w:val="14"/>
        </w:rPr>
      </w:r>
    </w:p>
    <w:p>
      <w:pPr>
        <w:spacing w:line="207" w:lineRule="auto" w:before="6"/>
        <w:ind w:left="107" w:right="320" w:firstLine="0"/>
        <w:jc w:val="left"/>
        <w:rPr>
          <w:rFonts w:ascii="Theinhardt Regular" w:hAnsi="Theinhardt Regular" w:cs="Theinhardt Regular" w:eastAsia="Theinhardt Regular"/>
          <w:sz w:val="14"/>
          <w:szCs w:val="14"/>
        </w:rPr>
      </w:pPr>
      <w:r>
        <w:rPr>
          <w:rFonts w:ascii="Theinhardt Regular" w:hAnsi="Theinhardt Regular"/>
          <w:sz w:val="14"/>
        </w:rPr>
        <w:t>Affentranger Bau AG, Markus Affentranger Schlossweg 4, 6147 Altbüron, Tel. 062 917 60 10</w:t>
      </w:r>
    </w:p>
    <w:p>
      <w:pPr>
        <w:spacing w:line="172" w:lineRule="exact" w:before="41"/>
        <w:ind w:left="107" w:right="0" w:firstLine="0"/>
        <w:jc w:val="left"/>
        <w:rPr>
          <w:rFonts w:ascii="Theinhardt Bold" w:hAnsi="Theinhardt Bold" w:cs="Theinhardt Bold" w:eastAsia="Theinhardt Bold"/>
          <w:sz w:val="14"/>
          <w:szCs w:val="14"/>
        </w:rPr>
      </w:pPr>
      <w:r>
        <w:rPr>
          <w:rFonts w:ascii="Theinhardt Bold"/>
          <w:b/>
          <w:sz w:val="14"/>
        </w:rPr>
        <w:t>Auftraggeber:</w:t>
      </w:r>
      <w:r>
        <w:rPr>
          <w:rFonts w:ascii="Theinhardt Bold"/>
          <w:sz w:val="14"/>
        </w:rPr>
      </w:r>
    </w:p>
    <w:p>
      <w:pPr>
        <w:spacing w:line="207" w:lineRule="auto" w:before="6"/>
        <w:ind w:left="107" w:right="320" w:firstLine="0"/>
        <w:jc w:val="left"/>
        <w:rPr>
          <w:rFonts w:ascii="Theinhardt Regular" w:hAnsi="Theinhardt Regular" w:cs="Theinhardt Regular" w:eastAsia="Theinhardt Regular"/>
          <w:sz w:val="14"/>
          <w:szCs w:val="14"/>
        </w:rPr>
      </w:pPr>
      <w:r>
        <w:rPr>
          <w:rFonts w:ascii="Theinhardt Regular" w:hAnsi="Theinhardt Regular"/>
          <w:sz w:val="14"/>
        </w:rPr>
        <w:t>Huppenkothen Baumaschinen AG, Hinterwiden 9245 Oberbüren, Tel. 071 944 18 11</w:t>
      </w:r>
    </w:p>
    <w:p>
      <w:pPr>
        <w:spacing w:line="172" w:lineRule="exact" w:before="41"/>
        <w:ind w:left="107" w:right="0" w:firstLine="0"/>
        <w:jc w:val="left"/>
        <w:rPr>
          <w:rFonts w:ascii="Theinhardt Bold" w:hAnsi="Theinhardt Bold" w:cs="Theinhardt Bold" w:eastAsia="Theinhardt Bold"/>
          <w:sz w:val="14"/>
          <w:szCs w:val="14"/>
        </w:rPr>
      </w:pPr>
      <w:r>
        <w:rPr>
          <w:rFonts w:ascii="Theinhardt Bold"/>
          <w:b/>
          <w:sz w:val="14"/>
        </w:rPr>
        <w:t>Kontaktperson:</w:t>
      </w:r>
      <w:r>
        <w:rPr>
          <w:rFonts w:ascii="Theinhardt Bold"/>
          <w:sz w:val="14"/>
        </w:rPr>
      </w:r>
    </w:p>
    <w:p>
      <w:pPr>
        <w:spacing w:line="207" w:lineRule="auto" w:before="6"/>
        <w:ind w:left="107" w:right="1115" w:firstLine="0"/>
        <w:jc w:val="left"/>
        <w:rPr>
          <w:rFonts w:ascii="Theinhardt Regular" w:hAnsi="Theinhardt Regular" w:cs="Theinhardt Regular" w:eastAsia="Theinhardt Regular"/>
          <w:sz w:val="14"/>
          <w:szCs w:val="14"/>
        </w:rPr>
      </w:pPr>
      <w:r>
        <w:rPr>
          <w:rFonts w:ascii="Theinhardt Regular"/>
          <w:sz w:val="14"/>
        </w:rPr>
        <w:t>Prof. Dr. David Dyntar, SUNCAR HK AG Tel. 079 779 81 94</w:t>
      </w:r>
    </w:p>
    <w:p>
      <w:pPr>
        <w:spacing w:line="160" w:lineRule="exact" w:before="49"/>
        <w:ind w:left="107" w:right="964" w:firstLine="0"/>
        <w:jc w:val="left"/>
        <w:rPr>
          <w:rFonts w:ascii="Theinhardt Regular" w:hAnsi="Theinhardt Regular" w:cs="Theinhardt Regular" w:eastAsia="Theinhardt Regular"/>
          <w:sz w:val="14"/>
          <w:szCs w:val="14"/>
        </w:rPr>
      </w:pPr>
      <w:r>
        <w:rPr>
          <w:rFonts w:ascii="Theinhardt Regular" w:hAnsi="Theinhardt Regular"/>
          <w:sz w:val="14"/>
        </w:rPr>
        <w:t>Prof. Dr. Max Stöck, NTB, 9471 Buchs Tel. </w:t>
      </w:r>
      <w:r>
        <w:rPr>
          <w:rFonts w:ascii="Theinhardt Regular" w:hAnsi="Theinhardt Regular"/>
          <w:spacing w:val="-1"/>
          <w:sz w:val="14"/>
        </w:rPr>
        <w:t>081</w:t>
      </w:r>
      <w:r>
        <w:rPr>
          <w:rFonts w:ascii="Theinhardt Regular" w:hAnsi="Theinhardt Regular"/>
          <w:sz w:val="14"/>
        </w:rPr>
        <w:t> </w:t>
      </w:r>
      <w:r>
        <w:rPr>
          <w:rFonts w:ascii="Theinhardt Regular" w:hAnsi="Theinhardt Regular"/>
          <w:spacing w:val="-1"/>
          <w:sz w:val="14"/>
        </w:rPr>
        <w:t>755</w:t>
      </w:r>
      <w:r>
        <w:rPr>
          <w:rFonts w:ascii="Theinhardt Regular" w:hAnsi="Theinhardt Regular"/>
          <w:sz w:val="14"/>
        </w:rPr>
        <w:t> 34 29</w:t>
      </w:r>
    </w:p>
    <w:p>
      <w:pPr>
        <w:spacing w:line="172" w:lineRule="exact" w:before="52"/>
        <w:ind w:left="107" w:right="0" w:firstLine="0"/>
        <w:jc w:val="left"/>
        <w:rPr>
          <w:rFonts w:ascii="Theinhardt Bold" w:hAnsi="Theinhardt Bold" w:cs="Theinhardt Bold" w:eastAsia="Theinhardt Bold"/>
          <w:sz w:val="14"/>
          <w:szCs w:val="14"/>
        </w:rPr>
      </w:pPr>
      <w:r>
        <w:rPr>
          <w:rFonts w:ascii="Theinhardt Bold"/>
          <w:b/>
          <w:sz w:val="14"/>
        </w:rPr>
        <w:t>Projektbeteiligung:</w:t>
      </w:r>
      <w:r>
        <w:rPr>
          <w:rFonts w:ascii="Theinhardt Bold"/>
          <w:sz w:val="14"/>
        </w:rPr>
      </w:r>
    </w:p>
    <w:p>
      <w:pPr>
        <w:spacing w:line="172" w:lineRule="exact" w:before="0"/>
        <w:ind w:left="107" w:right="0" w:firstLine="0"/>
        <w:jc w:val="left"/>
        <w:rPr>
          <w:rFonts w:ascii="Theinhardt Regular" w:hAnsi="Theinhardt Regular" w:cs="Theinhardt Regular" w:eastAsia="Theinhardt Regular"/>
          <w:sz w:val="14"/>
          <w:szCs w:val="14"/>
        </w:rPr>
      </w:pPr>
      <w:r>
        <w:rPr>
          <w:rFonts w:ascii="Theinhardt Regular" w:hAnsi="Theinhardt Regular"/>
          <w:sz w:val="14"/>
        </w:rPr>
        <w:t>SUNCAR HK AG, Hinterwiden, 9245 Oberbüren</w:t>
      </w:r>
    </w:p>
    <w:p>
      <w:pPr>
        <w:spacing w:before="35"/>
        <w:ind w:left="107" w:right="0" w:firstLine="0"/>
        <w:jc w:val="left"/>
        <w:rPr>
          <w:rFonts w:ascii="Theinhardt Regular" w:hAnsi="Theinhardt Regular" w:cs="Theinhardt Regular" w:eastAsia="Theinhardt Regular"/>
          <w:sz w:val="14"/>
          <w:szCs w:val="14"/>
        </w:rPr>
      </w:pPr>
      <w:r>
        <w:rPr>
          <w:rFonts w:ascii="Theinhardt Regular"/>
          <w:sz w:val="14"/>
        </w:rPr>
        <w:t>Daniel Vincenz, Masterarbeit im Bereich Batterie</w:t>
      </w:r>
    </w:p>
    <w:p>
      <w:pPr>
        <w:spacing w:line="160" w:lineRule="exact" w:before="43"/>
        <w:ind w:left="107" w:right="320" w:firstLine="0"/>
        <w:jc w:val="left"/>
        <w:rPr>
          <w:rFonts w:ascii="Theinhardt Regular" w:hAnsi="Theinhardt Regular" w:cs="Theinhardt Regular" w:eastAsia="Theinhardt Regular"/>
          <w:sz w:val="14"/>
          <w:szCs w:val="14"/>
        </w:rPr>
      </w:pPr>
      <w:r>
        <w:rPr>
          <w:rFonts w:ascii="Theinhardt Regular" w:hAnsi="Theinhardt Regular"/>
          <w:sz w:val="14"/>
        </w:rPr>
        <w:t>Jürg Horisberger, Bachelorarbeit im Bereich Fhz Steuerung</w:t>
      </w:r>
    </w:p>
    <w:p>
      <w:pPr>
        <w:spacing w:line="160" w:lineRule="exact" w:before="60"/>
        <w:ind w:left="107" w:right="147" w:firstLine="0"/>
        <w:jc w:val="left"/>
        <w:rPr>
          <w:rFonts w:ascii="Theinhardt Regular" w:hAnsi="Theinhardt Regular" w:cs="Theinhardt Regular" w:eastAsia="Theinhardt Regular"/>
          <w:sz w:val="14"/>
          <w:szCs w:val="14"/>
        </w:rPr>
      </w:pPr>
      <w:r>
        <w:rPr/>
        <w:pict>
          <v:group style="position:absolute;margin-left:385.078003pt;margin-top:53.660095pt;width:167.25pt;height:.45pt;mso-position-horizontal-relative:page;mso-position-vertical-relative:paragraph;z-index:1216" coordorigin="7702,1073" coordsize="3345,9">
            <v:group style="position:absolute;left:7723;top:1077;width:3311;height:2" coordorigin="7723,1077" coordsize="3311,2">
              <v:shape style="position:absolute;left:7723;top:1077;width:3311;height:2" coordorigin="7723,1077" coordsize="3311,0" path="m7723,1077l11034,1077e" filled="false" stroked="true" strokeweight=".425pt" strokecolor="#000000">
                <v:path arrowok="t"/>
                <v:stroke dashstyle="dash"/>
              </v:shape>
            </v:group>
            <v:group style="position:absolute;left:7706;top:1077;width:2;height:2" coordorigin="7706,1077" coordsize="2,2">
              <v:shape style="position:absolute;left:7706;top:1077;width:2;height:2" coordorigin="7706,1077" coordsize="0,0" path="m7706,1077l7706,1077e" filled="false" stroked="true" strokeweight=".425pt" strokecolor="#000000">
                <v:path arrowok="t"/>
              </v:shape>
            </v:group>
            <v:group style="position:absolute;left:11042;top:1077;width:2;height:2" coordorigin="11042,1077" coordsize="2,2">
              <v:shape style="position:absolute;left:11042;top:1077;width:2;height:2" coordorigin="11042,1077" coordsize="0,0" path="m11042,1077l11042,1077e" filled="false" stroked="true" strokeweight=".425pt" strokecolor="#000000">
                <v:path arrowok="t"/>
              </v:shape>
            </v:group>
            <w10:wrap type="none"/>
          </v:group>
        </w:pict>
      </w:r>
      <w:r>
        <w:rPr>
          <w:rFonts w:ascii="Theinhardt Regular" w:hAnsi="Theinhardt Regular"/>
          <w:sz w:val="14"/>
        </w:rPr>
        <w:t>Bachelorarbeit an der ETH/NTB: Karch Marco, Meili Tobias, Nüssli Patrik, Pedrini Norman, Prautzsch Jana, Pustrela Lorenzo, Reich Nils, Simon Péter, Stalder Marco, Studer Nico, Morales Leandro, Schneider Stefan, Rudin Martin, Tobias Ziegler, Deane Jason, Frehner Silvan und Löhrer Raffael</w:t>
      </w:r>
    </w:p>
    <w:p>
      <w:pPr>
        <w:spacing w:after="0" w:line="160" w:lineRule="exact"/>
        <w:jc w:val="left"/>
        <w:rPr>
          <w:rFonts w:ascii="Theinhardt Regular" w:hAnsi="Theinhardt Regular" w:cs="Theinhardt Regular" w:eastAsia="Theinhardt Regular"/>
          <w:sz w:val="14"/>
          <w:szCs w:val="14"/>
        </w:rPr>
        <w:sectPr>
          <w:type w:val="continuous"/>
          <w:pgSz w:w="11910" w:h="16840"/>
          <w:pgMar w:top="860" w:bottom="280" w:left="460" w:right="740"/>
          <w:cols w:num="3" w:equalWidth="0">
            <w:col w:w="3453" w:space="119"/>
            <w:col w:w="3453" w:space="110"/>
            <w:col w:w="3575"/>
          </w:cols>
        </w:sectPr>
      </w:pPr>
    </w:p>
    <w:p>
      <w:pPr>
        <w:spacing w:line="240" w:lineRule="auto" w:before="0"/>
        <w:rPr>
          <w:rFonts w:ascii="Theinhardt Regular" w:hAnsi="Theinhardt Regular" w:cs="Theinhardt Regular" w:eastAsia="Theinhardt Regular"/>
          <w:sz w:val="20"/>
          <w:szCs w:val="20"/>
        </w:rPr>
      </w:pPr>
    </w:p>
    <w:p>
      <w:pPr>
        <w:spacing w:line="240" w:lineRule="auto" w:before="0"/>
        <w:rPr>
          <w:rFonts w:ascii="Theinhardt Regular" w:hAnsi="Theinhardt Regular" w:cs="Theinhardt Regular" w:eastAsia="Theinhardt Regular"/>
          <w:sz w:val="20"/>
          <w:szCs w:val="20"/>
        </w:rPr>
      </w:pPr>
    </w:p>
    <w:p>
      <w:pPr>
        <w:spacing w:line="240" w:lineRule="auto" w:before="0"/>
        <w:rPr>
          <w:rFonts w:ascii="Theinhardt Regular" w:hAnsi="Theinhardt Regular" w:cs="Theinhardt Regular" w:eastAsia="Theinhardt Regular"/>
          <w:sz w:val="20"/>
          <w:szCs w:val="20"/>
        </w:rPr>
      </w:pPr>
    </w:p>
    <w:p>
      <w:pPr>
        <w:spacing w:line="240" w:lineRule="auto" w:before="0"/>
        <w:rPr>
          <w:rFonts w:ascii="Theinhardt Regular" w:hAnsi="Theinhardt Regular" w:cs="Theinhardt Regular" w:eastAsia="Theinhardt Regular"/>
          <w:sz w:val="20"/>
          <w:szCs w:val="20"/>
        </w:rPr>
      </w:pPr>
    </w:p>
    <w:p>
      <w:pPr>
        <w:spacing w:line="240" w:lineRule="auto" w:before="7"/>
        <w:rPr>
          <w:rFonts w:ascii="Theinhardt Regular" w:hAnsi="Theinhardt Regular" w:cs="Theinhardt Regular" w:eastAsia="Theinhardt Regular"/>
          <w:sz w:val="27"/>
          <w:szCs w:val="27"/>
        </w:rPr>
      </w:pPr>
    </w:p>
    <w:p>
      <w:pPr>
        <w:spacing w:before="70"/>
        <w:ind w:left="106" w:right="0" w:firstLine="0"/>
        <w:jc w:val="left"/>
        <w:rPr>
          <w:rFonts w:ascii="Theinhardt Regular" w:hAnsi="Theinhardt Regular" w:cs="Theinhardt Regular" w:eastAsia="Theinhardt Regular"/>
          <w:sz w:val="14"/>
          <w:szCs w:val="14"/>
        </w:rPr>
      </w:pPr>
      <w:r>
        <w:rPr>
          <w:rFonts w:ascii="Theinhardt Heavy"/>
          <w:b/>
          <w:sz w:val="14"/>
        </w:rPr>
        <w:t>88    </w:t>
      </w:r>
      <w:r>
        <w:rPr>
          <w:rFonts w:ascii="Theinhardt Heavy"/>
          <w:b/>
          <w:spacing w:val="7"/>
          <w:sz w:val="14"/>
        </w:rPr>
        <w:t> </w:t>
      </w:r>
      <w:r>
        <w:rPr>
          <w:rFonts w:ascii="Theinhardt Regular"/>
          <w:sz w:val="14"/>
        </w:rPr>
        <w:t>|   </w:t>
      </w:r>
      <w:r>
        <w:rPr>
          <w:rFonts w:ascii="Theinhardt Regular"/>
          <w:spacing w:val="14"/>
          <w:sz w:val="14"/>
        </w:rPr>
        <w:t> </w:t>
      </w:r>
      <w:r>
        <w:rPr>
          <w:rFonts w:ascii="Theinhardt Regular"/>
          <w:spacing w:val="-1"/>
          <w:sz w:val="14"/>
        </w:rPr>
        <w:t>Schweizer</w:t>
      </w:r>
      <w:r>
        <w:rPr>
          <w:rFonts w:ascii="Theinhardt Regular"/>
          <w:sz w:val="14"/>
        </w:rPr>
        <w:t> </w:t>
      </w:r>
      <w:r>
        <w:rPr>
          <w:rFonts w:ascii="Theinhardt Regular"/>
          <w:spacing w:val="-1"/>
          <w:sz w:val="14"/>
        </w:rPr>
        <w:t>Solarpreis</w:t>
      </w:r>
      <w:r>
        <w:rPr>
          <w:rFonts w:ascii="Theinhardt Regular"/>
          <w:sz w:val="14"/>
        </w:rPr>
        <w:t> 2015   </w:t>
      </w:r>
      <w:r>
        <w:rPr>
          <w:rFonts w:ascii="Theinhardt Regular"/>
          <w:spacing w:val="14"/>
          <w:sz w:val="14"/>
        </w:rPr>
        <w:t> </w:t>
      </w:r>
      <w:r>
        <w:rPr>
          <w:rFonts w:ascii="Theinhardt Regular"/>
          <w:sz w:val="14"/>
        </w:rPr>
        <w:t>|   </w:t>
      </w:r>
      <w:r>
        <w:rPr>
          <w:rFonts w:ascii="Theinhardt Regular"/>
          <w:spacing w:val="14"/>
          <w:sz w:val="14"/>
        </w:rPr>
        <w:t> </w:t>
      </w:r>
      <w:r>
        <w:rPr>
          <w:rFonts w:ascii="Theinhardt Regular"/>
          <w:spacing w:val="-1"/>
          <w:sz w:val="14"/>
        </w:rPr>
        <w:t>Prix</w:t>
      </w:r>
      <w:r>
        <w:rPr>
          <w:rFonts w:ascii="Theinhardt Regular"/>
          <w:sz w:val="14"/>
        </w:rPr>
        <w:t> </w:t>
      </w:r>
      <w:r>
        <w:rPr>
          <w:rFonts w:ascii="Theinhardt Regular"/>
          <w:spacing w:val="-1"/>
          <w:sz w:val="14"/>
        </w:rPr>
        <w:t>Solaire</w:t>
      </w:r>
      <w:r>
        <w:rPr>
          <w:rFonts w:ascii="Theinhardt Regular"/>
          <w:sz w:val="14"/>
        </w:rPr>
        <w:t> </w:t>
      </w:r>
      <w:r>
        <w:rPr>
          <w:rFonts w:ascii="Theinhardt Regular"/>
          <w:spacing w:val="-1"/>
          <w:sz w:val="14"/>
        </w:rPr>
        <w:t>Suisse</w:t>
      </w:r>
      <w:r>
        <w:rPr>
          <w:rFonts w:ascii="Theinhardt Regular"/>
          <w:sz w:val="14"/>
        </w:rPr>
        <w:t> 2015</w:t>
      </w:r>
    </w:p>
    <w:p>
      <w:pPr>
        <w:spacing w:after="0"/>
        <w:jc w:val="left"/>
        <w:rPr>
          <w:rFonts w:ascii="Theinhardt Regular" w:hAnsi="Theinhardt Regular" w:cs="Theinhardt Regular" w:eastAsia="Theinhardt Regular"/>
          <w:sz w:val="14"/>
          <w:szCs w:val="14"/>
        </w:rPr>
        <w:sectPr>
          <w:type w:val="continuous"/>
          <w:pgSz w:w="11910" w:h="16840"/>
          <w:pgMar w:top="860" w:bottom="280" w:left="460" w:right="740"/>
        </w:sectPr>
      </w:pPr>
    </w:p>
    <w:p>
      <w:pPr>
        <w:spacing w:line="240" w:lineRule="auto" w:before="6"/>
        <w:rPr>
          <w:rFonts w:ascii="Theinhardt Regular" w:hAnsi="Theinhardt Regular" w:cs="Theinhardt Regular" w:eastAsia="Theinhardt Regular"/>
          <w:sz w:val="5"/>
          <w:szCs w:val="5"/>
        </w:rPr>
      </w:pPr>
    </w:p>
    <w:p>
      <w:pPr>
        <w:spacing w:line="200" w:lineRule="atLeast"/>
        <w:ind w:left="110" w:right="0" w:firstLine="0"/>
        <w:rPr>
          <w:rFonts w:ascii="Theinhardt Regular" w:hAnsi="Theinhardt Regular" w:cs="Theinhardt Regular" w:eastAsia="Theinhardt Regular"/>
          <w:sz w:val="20"/>
          <w:szCs w:val="20"/>
        </w:rPr>
      </w:pPr>
      <w:r>
        <w:rPr>
          <w:rFonts w:ascii="Theinhardt Regular" w:hAnsi="Theinhardt Regular" w:cs="Theinhardt Regular" w:eastAsia="Theinhardt Regular"/>
          <w:sz w:val="20"/>
          <w:szCs w:val="20"/>
        </w:rPr>
        <w:drawing>
          <wp:inline distT="0" distB="0" distL="0" distR="0">
            <wp:extent cx="6658763" cy="508406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58763" cy="5084064"/>
                    </a:xfrm>
                    <a:prstGeom prst="rect">
                      <a:avLst/>
                    </a:prstGeom>
                  </pic:spPr>
                </pic:pic>
              </a:graphicData>
            </a:graphic>
          </wp:inline>
        </w:drawing>
      </w:r>
      <w:r>
        <w:rPr>
          <w:rFonts w:ascii="Theinhardt Regular" w:hAnsi="Theinhardt Regular" w:cs="Theinhardt Regular" w:eastAsia="Theinhardt Regular"/>
          <w:sz w:val="20"/>
          <w:szCs w:val="20"/>
        </w:rPr>
      </w:r>
    </w:p>
    <w:p>
      <w:pPr>
        <w:spacing w:before="18"/>
        <w:ind w:left="110" w:right="0" w:firstLine="0"/>
        <w:jc w:val="left"/>
        <w:rPr>
          <w:rFonts w:ascii="Theinhardt Bold" w:hAnsi="Theinhardt Bold" w:cs="Theinhardt Bold" w:eastAsia="Theinhardt Bold"/>
          <w:sz w:val="14"/>
          <w:szCs w:val="14"/>
        </w:rPr>
      </w:pPr>
      <w:r>
        <w:rPr>
          <w:rFonts w:ascii="Theinhardt Bold"/>
          <w:b/>
          <w:sz w:val="14"/>
        </w:rPr>
        <w:t>1</w:t>
      </w:r>
      <w:r>
        <w:rPr>
          <w:rFonts w:ascii="Theinhardt Bold"/>
          <w:sz w:val="14"/>
        </w:rPr>
      </w:r>
    </w:p>
    <w:p>
      <w:pPr>
        <w:spacing w:line="240" w:lineRule="auto" w:before="0"/>
        <w:rPr>
          <w:rFonts w:ascii="Theinhardt Bold" w:hAnsi="Theinhardt Bold" w:cs="Theinhardt Bold" w:eastAsia="Theinhardt Bold"/>
          <w:b/>
          <w:bCs/>
          <w:sz w:val="2"/>
          <w:szCs w:val="2"/>
        </w:rPr>
      </w:pPr>
    </w:p>
    <w:p>
      <w:pPr>
        <w:spacing w:line="200" w:lineRule="atLeast"/>
        <w:ind w:left="110" w:right="0" w:firstLine="0"/>
        <w:rPr>
          <w:rFonts w:ascii="Theinhardt Bold" w:hAnsi="Theinhardt Bold" w:cs="Theinhardt Bold" w:eastAsia="Theinhardt Bold"/>
          <w:sz w:val="20"/>
          <w:szCs w:val="20"/>
        </w:rPr>
      </w:pPr>
      <w:r>
        <w:rPr>
          <w:rFonts w:ascii="Theinhardt Bold" w:hAnsi="Theinhardt Bold" w:cs="Theinhardt Bold" w:eastAsia="Theinhardt Bold"/>
          <w:sz w:val="20"/>
          <w:szCs w:val="20"/>
        </w:rPr>
        <w:drawing>
          <wp:inline distT="0" distB="0" distL="0" distR="0">
            <wp:extent cx="6629451" cy="208121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629451" cy="2081212"/>
                    </a:xfrm>
                    <a:prstGeom prst="rect">
                      <a:avLst/>
                    </a:prstGeom>
                  </pic:spPr>
                </pic:pic>
              </a:graphicData>
            </a:graphic>
          </wp:inline>
        </w:drawing>
      </w:r>
      <w:r>
        <w:rPr>
          <w:rFonts w:ascii="Theinhardt Bold" w:hAnsi="Theinhardt Bold" w:cs="Theinhardt Bold" w:eastAsia="Theinhardt Bold"/>
          <w:sz w:val="20"/>
          <w:szCs w:val="20"/>
        </w:rPr>
      </w:r>
    </w:p>
    <w:p>
      <w:pPr>
        <w:spacing w:before="30"/>
        <w:ind w:left="110" w:right="0" w:firstLine="0"/>
        <w:jc w:val="left"/>
        <w:rPr>
          <w:rFonts w:ascii="Theinhardt Bold" w:hAnsi="Theinhardt Bold" w:cs="Theinhardt Bold" w:eastAsia="Theinhardt Bold"/>
          <w:sz w:val="14"/>
          <w:szCs w:val="14"/>
        </w:rPr>
      </w:pPr>
      <w:r>
        <w:rPr>
          <w:rFonts w:ascii="Theinhardt Bold"/>
          <w:b/>
          <w:sz w:val="14"/>
        </w:rPr>
        <w:t>2</w:t>
      </w:r>
      <w:r>
        <w:rPr>
          <w:rFonts w:ascii="Theinhardt Bold"/>
          <w:sz w:val="14"/>
        </w:rPr>
      </w: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0"/>
        <w:rPr>
          <w:rFonts w:ascii="Theinhardt Bold" w:hAnsi="Theinhardt Bold" w:cs="Theinhardt Bold" w:eastAsia="Theinhardt Bold"/>
          <w:b/>
          <w:bCs/>
          <w:sz w:val="20"/>
          <w:szCs w:val="20"/>
        </w:rPr>
      </w:pPr>
    </w:p>
    <w:p>
      <w:pPr>
        <w:spacing w:line="240" w:lineRule="auto" w:before="7"/>
        <w:rPr>
          <w:rFonts w:ascii="Theinhardt Bold" w:hAnsi="Theinhardt Bold" w:cs="Theinhardt Bold" w:eastAsia="Theinhardt Bold"/>
          <w:b/>
          <w:bCs/>
          <w:sz w:val="24"/>
          <w:szCs w:val="24"/>
        </w:rPr>
      </w:pPr>
    </w:p>
    <w:p>
      <w:pPr>
        <w:spacing w:after="0" w:line="240" w:lineRule="auto"/>
        <w:rPr>
          <w:rFonts w:ascii="Theinhardt Bold" w:hAnsi="Theinhardt Bold" w:cs="Theinhardt Bold" w:eastAsia="Theinhardt Bold"/>
          <w:sz w:val="24"/>
          <w:szCs w:val="24"/>
        </w:rPr>
        <w:sectPr>
          <w:pgSz w:w="11910" w:h="16840"/>
          <w:pgMar w:top="860" w:bottom="280" w:left="740" w:right="460"/>
        </w:sectPr>
      </w:pPr>
    </w:p>
    <w:p>
      <w:pPr>
        <w:numPr>
          <w:ilvl w:val="0"/>
          <w:numId w:val="1"/>
        </w:numPr>
        <w:tabs>
          <w:tab w:pos="338" w:val="left" w:leader="none"/>
        </w:tabs>
        <w:spacing w:line="160" w:lineRule="exact" w:before="76"/>
        <w:ind w:left="337" w:right="0" w:hanging="227"/>
        <w:jc w:val="left"/>
        <w:rPr>
          <w:rFonts w:ascii="Theinhardt Bold" w:hAnsi="Theinhardt Bold" w:cs="Theinhardt Bold" w:eastAsia="Theinhardt Bold"/>
          <w:sz w:val="14"/>
          <w:szCs w:val="14"/>
        </w:rPr>
      </w:pPr>
      <w:r>
        <w:rPr>
          <w:rFonts w:ascii="Theinhardt Bold" w:hAnsi="Theinhardt Bold"/>
          <w:b/>
          <w:spacing w:val="-1"/>
          <w:sz w:val="14"/>
        </w:rPr>
        <w:t>Der</w:t>
      </w:r>
      <w:r>
        <w:rPr>
          <w:rFonts w:ascii="Theinhardt Bold" w:hAnsi="Theinhardt Bold"/>
          <w:b/>
          <w:spacing w:val="-3"/>
          <w:sz w:val="14"/>
        </w:rPr>
        <w:t> </w:t>
      </w:r>
      <w:r>
        <w:rPr>
          <w:rFonts w:ascii="Theinhardt Bold" w:hAnsi="Theinhardt Bold"/>
          <w:b/>
          <w:spacing w:val="-2"/>
          <w:sz w:val="14"/>
        </w:rPr>
        <w:t>umgebaute</w:t>
      </w:r>
      <w:r>
        <w:rPr>
          <w:rFonts w:ascii="Theinhardt Bold" w:hAnsi="Theinhardt Bold"/>
          <w:b/>
          <w:spacing w:val="-9"/>
          <w:sz w:val="14"/>
        </w:rPr>
        <w:t> </w:t>
      </w:r>
      <w:r>
        <w:rPr>
          <w:rFonts w:ascii="Theinhardt Bold" w:hAnsi="Theinhardt Bold"/>
          <w:b/>
          <w:spacing w:val="-3"/>
          <w:sz w:val="14"/>
        </w:rPr>
        <w:t>Takeuchi-Bagger </w:t>
      </w:r>
      <w:r>
        <w:rPr>
          <w:rFonts w:ascii="Theinhardt Bold" w:hAnsi="Theinhardt Bold"/>
          <w:b/>
          <w:spacing w:val="-2"/>
          <w:sz w:val="14"/>
        </w:rPr>
        <w:t>von</w:t>
      </w:r>
      <w:r>
        <w:rPr>
          <w:rFonts w:ascii="Theinhardt Bold" w:hAnsi="Theinhardt Bold"/>
          <w:b/>
          <w:spacing w:val="-3"/>
          <w:sz w:val="14"/>
        </w:rPr>
        <w:t> </w:t>
      </w:r>
      <w:r>
        <w:rPr>
          <w:rFonts w:ascii="Theinhardt Bold" w:hAnsi="Theinhardt Bold"/>
          <w:b/>
          <w:spacing w:val="-2"/>
          <w:sz w:val="14"/>
        </w:rPr>
        <w:t>Markus</w:t>
      </w:r>
      <w:r>
        <w:rPr>
          <w:rFonts w:ascii="Theinhardt Bold" w:hAnsi="Theinhardt Bold"/>
          <w:b/>
          <w:spacing w:val="45"/>
          <w:sz w:val="14"/>
        </w:rPr>
        <w:t> </w:t>
      </w:r>
      <w:r>
        <w:rPr>
          <w:rFonts w:ascii="Theinhardt Bold" w:hAnsi="Theinhardt Bold"/>
          <w:b/>
          <w:spacing w:val="-2"/>
          <w:sz w:val="14"/>
        </w:rPr>
        <w:t>Affentranger</w:t>
      </w:r>
      <w:r>
        <w:rPr>
          <w:rFonts w:ascii="Theinhardt Bold" w:hAnsi="Theinhardt Bold"/>
          <w:b/>
          <w:spacing w:val="-3"/>
          <w:sz w:val="14"/>
        </w:rPr>
        <w:t> </w:t>
      </w:r>
      <w:r>
        <w:rPr>
          <w:rFonts w:ascii="Theinhardt Bold" w:hAnsi="Theinhardt Bold"/>
          <w:b/>
          <w:spacing w:val="-1"/>
          <w:sz w:val="14"/>
        </w:rPr>
        <w:t>läuft</w:t>
      </w:r>
      <w:r>
        <w:rPr>
          <w:rFonts w:ascii="Theinhardt Bold" w:hAnsi="Theinhardt Bold"/>
          <w:b/>
          <w:spacing w:val="-3"/>
          <w:sz w:val="14"/>
        </w:rPr>
        <w:t> </w:t>
      </w:r>
      <w:r>
        <w:rPr>
          <w:rFonts w:ascii="Theinhardt Bold" w:hAnsi="Theinhardt Bold"/>
          <w:b/>
          <w:spacing w:val="-2"/>
          <w:sz w:val="14"/>
        </w:rPr>
        <w:t>neun</w:t>
      </w:r>
      <w:r>
        <w:rPr>
          <w:rFonts w:ascii="Theinhardt Bold" w:hAnsi="Theinhardt Bold"/>
          <w:b/>
          <w:spacing w:val="-3"/>
          <w:sz w:val="14"/>
        </w:rPr>
        <w:t> </w:t>
      </w:r>
      <w:r>
        <w:rPr>
          <w:rFonts w:ascii="Theinhardt Bold" w:hAnsi="Theinhardt Bold"/>
          <w:b/>
          <w:spacing w:val="-2"/>
          <w:sz w:val="14"/>
        </w:rPr>
        <w:t>Stunden,</w:t>
      </w:r>
      <w:r>
        <w:rPr>
          <w:rFonts w:ascii="Theinhardt Bold" w:hAnsi="Theinhardt Bold"/>
          <w:b/>
          <w:spacing w:val="-9"/>
          <w:sz w:val="14"/>
        </w:rPr>
        <w:t> </w:t>
      </w:r>
      <w:r>
        <w:rPr>
          <w:rFonts w:ascii="Theinhardt Bold" w:hAnsi="Theinhardt Bold"/>
          <w:b/>
          <w:spacing w:val="-2"/>
          <w:sz w:val="14"/>
        </w:rPr>
        <w:t>ist</w:t>
      </w:r>
      <w:r>
        <w:rPr>
          <w:rFonts w:ascii="Theinhardt Bold" w:hAnsi="Theinhardt Bold"/>
          <w:b/>
          <w:spacing w:val="-3"/>
          <w:sz w:val="14"/>
        </w:rPr>
        <w:t> </w:t>
      </w:r>
      <w:r>
        <w:rPr>
          <w:rFonts w:ascii="Theinhardt Bold" w:hAnsi="Theinhardt Bold"/>
          <w:b/>
          <w:spacing w:val="-2"/>
          <w:sz w:val="14"/>
        </w:rPr>
        <w:t>geräusch-</w:t>
      </w:r>
      <w:r>
        <w:rPr>
          <w:rFonts w:ascii="Theinhardt Bold" w:hAnsi="Theinhardt Bold"/>
          <w:b/>
          <w:spacing w:val="25"/>
          <w:sz w:val="14"/>
        </w:rPr>
        <w:t> </w:t>
      </w:r>
      <w:r>
        <w:rPr>
          <w:rFonts w:ascii="Theinhardt Bold" w:hAnsi="Theinhardt Bold"/>
          <w:b/>
          <w:spacing w:val="-2"/>
          <w:sz w:val="14"/>
        </w:rPr>
        <w:t>arm,</w:t>
      </w:r>
      <w:r>
        <w:rPr>
          <w:rFonts w:ascii="Theinhardt Bold" w:hAnsi="Theinhardt Bold"/>
          <w:b/>
          <w:spacing w:val="-9"/>
          <w:sz w:val="14"/>
        </w:rPr>
        <w:t> </w:t>
      </w:r>
      <w:r>
        <w:rPr>
          <w:rFonts w:ascii="Theinhardt Bold" w:hAnsi="Theinhardt Bold"/>
          <w:b/>
          <w:spacing w:val="-1"/>
          <w:sz w:val="14"/>
        </w:rPr>
        <w:t>emittiert</w:t>
      </w:r>
      <w:r>
        <w:rPr>
          <w:rFonts w:ascii="Theinhardt Bold" w:hAnsi="Theinhardt Bold"/>
          <w:b/>
          <w:spacing w:val="-3"/>
          <w:sz w:val="14"/>
        </w:rPr>
        <w:t> </w:t>
      </w:r>
      <w:r>
        <w:rPr>
          <w:rFonts w:ascii="Theinhardt Bold" w:hAnsi="Theinhardt Bold"/>
          <w:b/>
          <w:spacing w:val="-2"/>
          <w:sz w:val="14"/>
        </w:rPr>
        <w:t>keine</w:t>
      </w:r>
      <w:r>
        <w:rPr>
          <w:rFonts w:ascii="Theinhardt Bold" w:hAnsi="Theinhardt Bold"/>
          <w:b/>
          <w:spacing w:val="-3"/>
          <w:sz w:val="14"/>
        </w:rPr>
        <w:t> </w:t>
      </w:r>
      <w:r>
        <w:rPr>
          <w:rFonts w:ascii="Theinhardt Bold" w:hAnsi="Theinhardt Bold"/>
          <w:b/>
          <w:spacing w:val="-2"/>
          <w:sz w:val="14"/>
        </w:rPr>
        <w:t>Schadstoffe</w:t>
      </w:r>
      <w:r>
        <w:rPr>
          <w:rFonts w:ascii="Theinhardt Bold" w:hAnsi="Theinhardt Bold"/>
          <w:b/>
          <w:spacing w:val="-3"/>
          <w:sz w:val="14"/>
        </w:rPr>
        <w:t> </w:t>
      </w:r>
      <w:r>
        <w:rPr>
          <w:rFonts w:ascii="Theinhardt Bold" w:hAnsi="Theinhardt Bold"/>
          <w:b/>
          <w:spacing w:val="-2"/>
          <w:sz w:val="14"/>
        </w:rPr>
        <w:t>und</w:t>
      </w:r>
      <w:r>
        <w:rPr>
          <w:rFonts w:ascii="Theinhardt Bold" w:hAnsi="Theinhardt Bold"/>
          <w:b/>
          <w:spacing w:val="-3"/>
          <w:sz w:val="14"/>
        </w:rPr>
        <w:t> </w:t>
      </w:r>
      <w:r>
        <w:rPr>
          <w:rFonts w:ascii="Theinhardt Bold" w:hAnsi="Theinhardt Bold"/>
          <w:b/>
          <w:spacing w:val="-1"/>
          <w:sz w:val="14"/>
        </w:rPr>
        <w:t>verfügt</w:t>
      </w:r>
      <w:r>
        <w:rPr>
          <w:rFonts w:ascii="Theinhardt Bold" w:hAnsi="Theinhardt Bold"/>
          <w:b/>
          <w:spacing w:val="27"/>
          <w:sz w:val="14"/>
        </w:rPr>
        <w:t> </w:t>
      </w:r>
      <w:r>
        <w:rPr>
          <w:rFonts w:ascii="Theinhardt Bold" w:hAnsi="Theinhardt Bold"/>
          <w:b/>
          <w:spacing w:val="-2"/>
          <w:sz w:val="14"/>
        </w:rPr>
        <w:t>über</w:t>
      </w:r>
      <w:r>
        <w:rPr>
          <w:rFonts w:ascii="Theinhardt Bold" w:hAnsi="Theinhardt Bold"/>
          <w:b/>
          <w:spacing w:val="-3"/>
          <w:sz w:val="14"/>
        </w:rPr>
        <w:t> </w:t>
      </w:r>
      <w:r>
        <w:rPr>
          <w:rFonts w:ascii="Theinhardt Bold" w:hAnsi="Theinhardt Bold"/>
          <w:b/>
          <w:spacing w:val="-2"/>
          <w:sz w:val="14"/>
        </w:rPr>
        <w:t>eine</w:t>
      </w:r>
      <w:r>
        <w:rPr>
          <w:rFonts w:ascii="Theinhardt Bold" w:hAnsi="Theinhardt Bold"/>
          <w:b/>
          <w:spacing w:val="-3"/>
          <w:sz w:val="14"/>
        </w:rPr>
        <w:t> </w:t>
      </w:r>
      <w:r>
        <w:rPr>
          <w:rFonts w:ascii="Theinhardt Bold" w:hAnsi="Theinhardt Bold"/>
          <w:b/>
          <w:spacing w:val="-2"/>
          <w:sz w:val="14"/>
        </w:rPr>
        <w:t>Leistung</w:t>
      </w:r>
      <w:r>
        <w:rPr>
          <w:rFonts w:ascii="Theinhardt Bold" w:hAnsi="Theinhardt Bold"/>
          <w:b/>
          <w:spacing w:val="-3"/>
          <w:sz w:val="14"/>
        </w:rPr>
        <w:t> </w:t>
      </w:r>
      <w:r>
        <w:rPr>
          <w:rFonts w:ascii="Theinhardt Bold" w:hAnsi="Theinhardt Bold"/>
          <w:b/>
          <w:spacing w:val="-2"/>
          <w:sz w:val="14"/>
        </w:rPr>
        <w:t>von</w:t>
      </w:r>
      <w:r>
        <w:rPr>
          <w:rFonts w:ascii="Theinhardt Bold" w:hAnsi="Theinhardt Bold"/>
          <w:b/>
          <w:spacing w:val="-3"/>
          <w:sz w:val="14"/>
        </w:rPr>
        <w:t> </w:t>
      </w:r>
      <w:r>
        <w:rPr>
          <w:rFonts w:ascii="Theinhardt Bold" w:hAnsi="Theinhardt Bold"/>
          <w:b/>
          <w:spacing w:val="-2"/>
          <w:sz w:val="14"/>
        </w:rPr>
        <w:t>75-167</w:t>
      </w:r>
      <w:r>
        <w:rPr>
          <w:rFonts w:ascii="Theinhardt Bold" w:hAnsi="Theinhardt Bold"/>
          <w:b/>
          <w:spacing w:val="-3"/>
          <w:sz w:val="14"/>
        </w:rPr>
        <w:t> </w:t>
      </w:r>
      <w:r>
        <w:rPr>
          <w:rFonts w:ascii="Theinhardt Bold" w:hAnsi="Theinhardt Bold"/>
          <w:b/>
          <w:spacing w:val="-4"/>
          <w:sz w:val="14"/>
        </w:rPr>
        <w:t>kW.</w:t>
      </w:r>
      <w:r>
        <w:rPr>
          <w:rFonts w:ascii="Theinhardt Bold" w:hAnsi="Theinhardt Bold"/>
          <w:sz w:val="14"/>
        </w:rPr>
      </w:r>
    </w:p>
    <w:p>
      <w:pPr>
        <w:numPr>
          <w:ilvl w:val="0"/>
          <w:numId w:val="1"/>
        </w:numPr>
        <w:tabs>
          <w:tab w:pos="338" w:val="left" w:leader="none"/>
        </w:tabs>
        <w:spacing w:line="160" w:lineRule="exact" w:before="76"/>
        <w:ind w:left="337" w:right="3795" w:hanging="227"/>
        <w:jc w:val="left"/>
        <w:rPr>
          <w:rFonts w:ascii="Theinhardt Bold" w:hAnsi="Theinhardt Bold" w:cs="Theinhardt Bold" w:eastAsia="Theinhardt Bold"/>
          <w:sz w:val="14"/>
          <w:szCs w:val="14"/>
        </w:rPr>
      </w:pPr>
      <w:r>
        <w:rPr>
          <w:rFonts w:ascii="Theinhardt Bold" w:hAnsi="Theinhardt Bold" w:cs="Theinhardt Bold" w:eastAsia="Theinhardt Bold"/>
          <w:b/>
          <w:bCs/>
          <w:sz w:val="14"/>
          <w:szCs w:val="14"/>
        </w:rPr>
        <w:br w:type="column"/>
        <w:t>Die</w:t>
      </w:r>
      <w:r>
        <w:rPr>
          <w:rFonts w:ascii="Theinhardt Bold" w:hAnsi="Theinhardt Bold" w:cs="Theinhardt Bold" w:eastAsia="Theinhardt Bold"/>
          <w:b/>
          <w:bCs/>
          <w:spacing w:val="-1"/>
          <w:sz w:val="14"/>
          <w:szCs w:val="14"/>
        </w:rPr>
        <w:t> </w:t>
      </w:r>
      <w:r>
        <w:rPr>
          <w:rFonts w:ascii="Theinhardt Bold" w:hAnsi="Theinhardt Bold" w:cs="Theinhardt Bold" w:eastAsia="Theinhardt Bold"/>
          <w:b/>
          <w:bCs/>
          <w:sz w:val="14"/>
          <w:szCs w:val="14"/>
        </w:rPr>
        <w:t>vollflächig integrierte</w:t>
      </w:r>
      <w:r>
        <w:rPr>
          <w:rFonts w:ascii="Theinhardt Bold" w:hAnsi="Theinhardt Bold" w:cs="Theinhardt Bold" w:eastAsia="Theinhardt Bold"/>
          <w:b/>
          <w:bCs/>
          <w:spacing w:val="-1"/>
          <w:sz w:val="14"/>
          <w:szCs w:val="14"/>
        </w:rPr>
        <w:t> </w:t>
      </w:r>
      <w:r>
        <w:rPr>
          <w:rFonts w:ascii="Theinhardt Bold" w:hAnsi="Theinhardt Bold" w:cs="Theinhardt Bold" w:eastAsia="Theinhardt Bold"/>
          <w:b/>
          <w:bCs/>
          <w:sz w:val="14"/>
          <w:szCs w:val="14"/>
        </w:rPr>
        <w:t>PV-Anlage auf </w:t>
      </w:r>
      <w:r>
        <w:rPr>
          <w:rFonts w:ascii="Theinhardt Bold" w:hAnsi="Theinhardt Bold" w:cs="Theinhardt Bold" w:eastAsia="Theinhardt Bold"/>
          <w:b/>
          <w:bCs/>
          <w:spacing w:val="-1"/>
          <w:sz w:val="14"/>
          <w:szCs w:val="14"/>
        </w:rPr>
        <w:t>dem</w:t>
      </w:r>
      <w:r>
        <w:rPr>
          <w:rFonts w:ascii="Theinhardt Bold" w:hAnsi="Theinhardt Bold" w:cs="Theinhardt Bold" w:eastAsia="Theinhardt Bold"/>
          <w:b/>
          <w:bCs/>
          <w:spacing w:val="27"/>
          <w:sz w:val="14"/>
          <w:szCs w:val="14"/>
        </w:rPr>
        <w:t> </w:t>
      </w:r>
      <w:r>
        <w:rPr>
          <w:rFonts w:ascii="Theinhardt Bold" w:hAnsi="Theinhardt Bold" w:cs="Theinhardt Bold" w:eastAsia="Theinhardt Bold"/>
          <w:b/>
          <w:bCs/>
          <w:sz w:val="14"/>
          <w:szCs w:val="14"/>
        </w:rPr>
        <w:t>Geschäftsgebäude Mühlematte in Altbüron/LU</w:t>
      </w:r>
      <w:r>
        <w:rPr>
          <w:rFonts w:ascii="Theinhardt Bold" w:hAnsi="Theinhardt Bold" w:cs="Theinhardt Bold" w:eastAsia="Theinhardt Bold"/>
          <w:b/>
          <w:bCs/>
          <w:spacing w:val="30"/>
          <w:sz w:val="14"/>
          <w:szCs w:val="14"/>
        </w:rPr>
        <w:t> </w:t>
      </w:r>
      <w:r>
        <w:rPr>
          <w:rFonts w:ascii="Theinhardt Bold" w:hAnsi="Theinhardt Bold" w:cs="Theinhardt Bold" w:eastAsia="Theinhardt Bold"/>
          <w:b/>
          <w:bCs/>
          <w:spacing w:val="-1"/>
          <w:sz w:val="14"/>
          <w:szCs w:val="14"/>
        </w:rPr>
        <w:t>liefert</w:t>
      </w:r>
      <w:r>
        <w:rPr>
          <w:rFonts w:ascii="Theinhardt Bold" w:hAnsi="Theinhardt Bold" w:cs="Theinhardt Bold" w:eastAsia="Theinhardt Bold"/>
          <w:b/>
          <w:bCs/>
          <w:sz w:val="14"/>
          <w:szCs w:val="14"/>
        </w:rPr>
        <w:t> mit 720’000 </w:t>
      </w:r>
      <w:r>
        <w:rPr>
          <w:rFonts w:ascii="Theinhardt Bold" w:hAnsi="Theinhardt Bold" w:cs="Theinhardt Bold" w:eastAsia="Theinhardt Bold"/>
          <w:b/>
          <w:bCs/>
          <w:spacing w:val="-2"/>
          <w:sz w:val="14"/>
          <w:szCs w:val="14"/>
        </w:rPr>
        <w:t>kWh/a</w:t>
      </w:r>
      <w:r>
        <w:rPr>
          <w:rFonts w:ascii="Theinhardt Bold" w:hAnsi="Theinhardt Bold" w:cs="Theinhardt Bold" w:eastAsia="Theinhardt Bold"/>
          <w:b/>
          <w:bCs/>
          <w:sz w:val="14"/>
          <w:szCs w:val="14"/>
        </w:rPr>
        <w:t> 24 Mal mehr Strom,</w:t>
      </w:r>
      <w:r>
        <w:rPr>
          <w:rFonts w:ascii="Theinhardt Bold" w:hAnsi="Theinhardt Bold" w:cs="Theinhardt Bold" w:eastAsia="Theinhardt Bold"/>
          <w:b/>
          <w:bCs/>
          <w:spacing w:val="24"/>
          <w:sz w:val="14"/>
          <w:szCs w:val="14"/>
        </w:rPr>
        <w:t> </w:t>
      </w:r>
      <w:r>
        <w:rPr>
          <w:rFonts w:ascii="Theinhardt Bold" w:hAnsi="Theinhardt Bold" w:cs="Theinhardt Bold" w:eastAsia="Theinhardt Bold"/>
          <w:b/>
          <w:bCs/>
          <w:sz w:val="14"/>
          <w:szCs w:val="14"/>
        </w:rPr>
        <w:t>als </w:t>
      </w:r>
      <w:r>
        <w:rPr>
          <w:rFonts w:ascii="Theinhardt Bold" w:hAnsi="Theinhardt Bold" w:cs="Theinhardt Bold" w:eastAsia="Theinhardt Bold"/>
          <w:b/>
          <w:bCs/>
          <w:spacing w:val="-1"/>
          <w:sz w:val="14"/>
          <w:szCs w:val="14"/>
        </w:rPr>
        <w:t>der</w:t>
      </w:r>
      <w:r>
        <w:rPr>
          <w:rFonts w:ascii="Theinhardt Bold" w:hAnsi="Theinhardt Bold" w:cs="Theinhardt Bold" w:eastAsia="Theinhardt Bold"/>
          <w:b/>
          <w:bCs/>
          <w:sz w:val="14"/>
          <w:szCs w:val="14"/>
        </w:rPr>
        <w:t> Solarbagger </w:t>
      </w:r>
      <w:r>
        <w:rPr>
          <w:rFonts w:ascii="Theinhardt Bold" w:hAnsi="Theinhardt Bold" w:cs="Theinhardt Bold" w:eastAsia="Theinhardt Bold"/>
          <w:b/>
          <w:bCs/>
          <w:spacing w:val="-1"/>
          <w:sz w:val="14"/>
          <w:szCs w:val="14"/>
        </w:rPr>
        <w:t>jährlich</w:t>
      </w:r>
      <w:r>
        <w:rPr>
          <w:rFonts w:ascii="Theinhardt Bold" w:hAnsi="Theinhardt Bold" w:cs="Theinhardt Bold" w:eastAsia="Theinhardt Bold"/>
          <w:b/>
          <w:bCs/>
          <w:sz w:val="14"/>
          <w:szCs w:val="14"/>
        </w:rPr>
        <w:t> benötigt.</w:t>
      </w:r>
      <w:r>
        <w:rPr>
          <w:rFonts w:ascii="Theinhardt Bold" w:hAnsi="Theinhardt Bold" w:cs="Theinhardt Bold" w:eastAsia="Theinhardt Bold"/>
          <w:sz w:val="14"/>
          <w:szCs w:val="14"/>
        </w:rPr>
      </w:r>
    </w:p>
    <w:p>
      <w:pPr>
        <w:spacing w:after="0" w:line="160" w:lineRule="exact"/>
        <w:jc w:val="left"/>
        <w:rPr>
          <w:rFonts w:ascii="Theinhardt Bold" w:hAnsi="Theinhardt Bold" w:cs="Theinhardt Bold" w:eastAsia="Theinhardt Bold"/>
          <w:sz w:val="14"/>
          <w:szCs w:val="14"/>
        </w:rPr>
        <w:sectPr>
          <w:type w:val="continuous"/>
          <w:pgSz w:w="11910" w:h="16840"/>
          <w:pgMar w:top="860" w:bottom="280" w:left="740" w:right="460"/>
          <w:cols w:num="2" w:equalWidth="0">
            <w:col w:w="3257" w:space="315"/>
            <w:col w:w="7138"/>
          </w:cols>
        </w:sectPr>
      </w:pPr>
    </w:p>
    <w:p>
      <w:pPr>
        <w:spacing w:line="240" w:lineRule="auto" w:before="1"/>
        <w:rPr>
          <w:rFonts w:ascii="Theinhardt Bold" w:hAnsi="Theinhardt Bold" w:cs="Theinhardt Bold" w:eastAsia="Theinhardt Bold"/>
          <w:b/>
          <w:bCs/>
          <w:sz w:val="22"/>
          <w:szCs w:val="22"/>
        </w:rPr>
      </w:pPr>
    </w:p>
    <w:p>
      <w:pPr>
        <w:spacing w:before="70"/>
        <w:ind w:left="6666" w:right="0" w:firstLine="0"/>
        <w:jc w:val="left"/>
        <w:rPr>
          <w:rFonts w:ascii="Theinhardt Heavy" w:hAnsi="Theinhardt Heavy" w:cs="Theinhardt Heavy" w:eastAsia="Theinhardt Heavy"/>
          <w:sz w:val="14"/>
          <w:szCs w:val="14"/>
        </w:rPr>
      </w:pPr>
      <w:r>
        <w:rPr>
          <w:rFonts w:ascii="Theinhardt Regular"/>
          <w:spacing w:val="-1"/>
          <w:sz w:val="14"/>
        </w:rPr>
        <w:t>Schweizer</w:t>
      </w:r>
      <w:r>
        <w:rPr>
          <w:rFonts w:ascii="Theinhardt Regular"/>
          <w:sz w:val="14"/>
        </w:rPr>
        <w:t> </w:t>
      </w:r>
      <w:r>
        <w:rPr>
          <w:rFonts w:ascii="Theinhardt Regular"/>
          <w:spacing w:val="-1"/>
          <w:sz w:val="14"/>
        </w:rPr>
        <w:t>Solarpreis</w:t>
      </w:r>
      <w:r>
        <w:rPr>
          <w:rFonts w:ascii="Theinhardt Regular"/>
          <w:sz w:val="14"/>
        </w:rPr>
        <w:t> 2015   </w:t>
      </w:r>
      <w:r>
        <w:rPr>
          <w:rFonts w:ascii="Theinhardt Regular"/>
          <w:spacing w:val="14"/>
          <w:sz w:val="14"/>
        </w:rPr>
        <w:t> </w:t>
      </w:r>
      <w:r>
        <w:rPr>
          <w:rFonts w:ascii="Theinhardt Regular"/>
          <w:sz w:val="14"/>
        </w:rPr>
        <w:t>|   </w:t>
      </w:r>
      <w:r>
        <w:rPr>
          <w:rFonts w:ascii="Theinhardt Regular"/>
          <w:spacing w:val="14"/>
          <w:sz w:val="14"/>
        </w:rPr>
        <w:t> </w:t>
      </w:r>
      <w:r>
        <w:rPr>
          <w:rFonts w:ascii="Theinhardt Regular"/>
          <w:spacing w:val="-1"/>
          <w:sz w:val="14"/>
        </w:rPr>
        <w:t>Prix</w:t>
      </w:r>
      <w:r>
        <w:rPr>
          <w:rFonts w:ascii="Theinhardt Regular"/>
          <w:sz w:val="14"/>
        </w:rPr>
        <w:t> </w:t>
      </w:r>
      <w:r>
        <w:rPr>
          <w:rFonts w:ascii="Theinhardt Regular"/>
          <w:spacing w:val="-1"/>
          <w:sz w:val="14"/>
        </w:rPr>
        <w:t>Solaire</w:t>
      </w:r>
      <w:r>
        <w:rPr>
          <w:rFonts w:ascii="Theinhardt Regular"/>
          <w:sz w:val="14"/>
        </w:rPr>
        <w:t> </w:t>
      </w:r>
      <w:r>
        <w:rPr>
          <w:rFonts w:ascii="Theinhardt Regular"/>
          <w:spacing w:val="-1"/>
          <w:sz w:val="14"/>
        </w:rPr>
        <w:t>Suisse</w:t>
      </w:r>
      <w:r>
        <w:rPr>
          <w:rFonts w:ascii="Theinhardt Regular"/>
          <w:sz w:val="14"/>
        </w:rPr>
        <w:t> 2015  </w:t>
      </w:r>
      <w:r>
        <w:rPr>
          <w:rFonts w:ascii="Theinhardt Regular"/>
          <w:spacing w:val="14"/>
          <w:sz w:val="14"/>
        </w:rPr>
        <w:t> </w:t>
      </w:r>
      <w:r>
        <w:rPr>
          <w:rFonts w:ascii="Theinhardt Regular"/>
          <w:sz w:val="14"/>
        </w:rPr>
        <w:t>|   </w:t>
      </w:r>
      <w:r>
        <w:rPr>
          <w:rFonts w:ascii="Theinhardt Regular"/>
          <w:spacing w:val="14"/>
          <w:sz w:val="14"/>
        </w:rPr>
        <w:t> </w:t>
      </w:r>
      <w:r>
        <w:rPr>
          <w:rFonts w:ascii="Theinhardt Heavy"/>
          <w:b/>
          <w:sz w:val="14"/>
        </w:rPr>
        <w:t>89</w:t>
      </w:r>
      <w:r>
        <w:rPr>
          <w:rFonts w:ascii="Theinhardt Heavy"/>
          <w:sz w:val="14"/>
        </w:rPr>
      </w:r>
    </w:p>
    <w:sectPr>
      <w:type w:val="continuous"/>
      <w:pgSz w:w="11910" w:h="16840"/>
      <w:pgMar w:top="860" w:bottom="280" w:left="7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heinhardt Heavy">
    <w:altName w:val="Theinhardt Heavy"/>
    <w:charset w:val="0"/>
    <w:family w:val="swiss"/>
    <w:pitch w:val="variable"/>
  </w:font>
  <w:font w:name="Theinhardt Regular">
    <w:altName w:val="Theinhardt Regular"/>
    <w:charset w:val="0"/>
    <w:family w:val="swiss"/>
    <w:pitch w:val="variable"/>
  </w:font>
  <w:font w:name="Theinhardt Bold">
    <w:altName w:val="Theinhardt Bold"/>
    <w:charset w:val="0"/>
    <w:family w:val="swiss"/>
    <w:pitch w:val="variable"/>
  </w:font>
  <w:font w:name="Theinhardt Black">
    <w:altName w:val="Theinhardt Black"/>
    <w:charset w:val="0"/>
    <w:family w:val="swiss"/>
    <w:pitch w:val="variable"/>
  </w:font>
  <w:font w:name="Theinhardt Regular Italic">
    <w:altName w:val="Theinhardt Regular Ital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7" w:hanging="227"/>
        <w:jc w:val="left"/>
      </w:pPr>
      <w:rPr>
        <w:rFonts w:hint="default" w:ascii="Theinhardt Bold" w:hAnsi="Theinhardt Bold" w:eastAsia="Theinhardt Bold"/>
        <w:b/>
        <w:bCs/>
        <w:sz w:val="14"/>
        <w:szCs w:val="14"/>
      </w:rPr>
    </w:lvl>
    <w:lvl w:ilvl="1">
      <w:start w:val="1"/>
      <w:numFmt w:val="bullet"/>
      <w:lvlText w:val="•"/>
      <w:lvlJc w:val="left"/>
      <w:pPr>
        <w:ind w:left="629" w:hanging="227"/>
      </w:pPr>
      <w:rPr>
        <w:rFonts w:hint="default"/>
      </w:rPr>
    </w:lvl>
    <w:lvl w:ilvl="2">
      <w:start w:val="1"/>
      <w:numFmt w:val="bullet"/>
      <w:lvlText w:val="•"/>
      <w:lvlJc w:val="left"/>
      <w:pPr>
        <w:ind w:left="921" w:hanging="227"/>
      </w:pPr>
      <w:rPr>
        <w:rFonts w:hint="default"/>
      </w:rPr>
    </w:lvl>
    <w:lvl w:ilvl="3">
      <w:start w:val="1"/>
      <w:numFmt w:val="bullet"/>
      <w:lvlText w:val="•"/>
      <w:lvlJc w:val="left"/>
      <w:pPr>
        <w:ind w:left="1212" w:hanging="227"/>
      </w:pPr>
      <w:rPr>
        <w:rFonts w:hint="default"/>
      </w:rPr>
    </w:lvl>
    <w:lvl w:ilvl="4">
      <w:start w:val="1"/>
      <w:numFmt w:val="bullet"/>
      <w:lvlText w:val="•"/>
      <w:lvlJc w:val="left"/>
      <w:pPr>
        <w:ind w:left="1504" w:hanging="227"/>
      </w:pPr>
      <w:rPr>
        <w:rFonts w:hint="default"/>
      </w:rPr>
    </w:lvl>
    <w:lvl w:ilvl="5">
      <w:start w:val="1"/>
      <w:numFmt w:val="bullet"/>
      <w:lvlText w:val="•"/>
      <w:lvlJc w:val="left"/>
      <w:pPr>
        <w:ind w:left="1796" w:hanging="227"/>
      </w:pPr>
      <w:rPr>
        <w:rFonts w:hint="default"/>
      </w:rPr>
    </w:lvl>
    <w:lvl w:ilvl="6">
      <w:start w:val="1"/>
      <w:numFmt w:val="bullet"/>
      <w:lvlText w:val="•"/>
      <w:lvlJc w:val="left"/>
      <w:pPr>
        <w:ind w:left="2088" w:hanging="227"/>
      </w:pPr>
      <w:rPr>
        <w:rFonts w:hint="default"/>
      </w:rPr>
    </w:lvl>
    <w:lvl w:ilvl="7">
      <w:start w:val="1"/>
      <w:numFmt w:val="bullet"/>
      <w:lvlText w:val="•"/>
      <w:lvlJc w:val="left"/>
      <w:pPr>
        <w:ind w:left="2380" w:hanging="227"/>
      </w:pPr>
      <w:rPr>
        <w:rFonts w:hint="default"/>
      </w:rPr>
    </w:lvl>
    <w:lvl w:ilvl="8">
      <w:start w:val="1"/>
      <w:numFmt w:val="bullet"/>
      <w:lvlText w:val="•"/>
      <w:lvlJc w:val="left"/>
      <w:pPr>
        <w:ind w:left="2672" w:hanging="2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6"/>
    </w:pPr>
    <w:rPr>
      <w:rFonts w:ascii="Theinhardt Regular" w:hAnsi="Theinhardt Regular" w:eastAsia="Theinhardt Regular"/>
      <w:sz w:val="18"/>
      <w:szCs w:val="18"/>
    </w:rPr>
  </w:style>
  <w:style w:styleId="Heading1" w:type="paragraph">
    <w:name w:val="Heading 1"/>
    <w:basedOn w:val="Normal"/>
    <w:uiPriority w:val="1"/>
    <w:qFormat/>
    <w:pPr>
      <w:ind w:left="106"/>
      <w:outlineLvl w:val="1"/>
    </w:pPr>
    <w:rPr>
      <w:rFonts w:ascii="Theinhardt Bold" w:hAnsi="Theinhardt Bold" w:eastAsia="Theinhardt Bold"/>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2015-10-21T09:06:34Z</dcterms:created>
  <dcterms:modified xsi:type="dcterms:W3CDTF">2015-10-21T09:06:34Z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