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993pt;margin-top:13.697199pt;width:.1pt;height:.1pt;mso-position-horizontal-relative:page;mso-position-vertical-relative:paragraph;z-index:-5872" coordorigin="580,274" coordsize="2,2">
            <v:shape style="position:absolute;left:580;top:274;width:2;height:2" coordorigin="580,274" coordsize="0,0" path="m580,274l580,274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97199pt;width:.1pt;height:.1pt;mso-position-horizontal-relative:page;mso-position-vertical-relative:paragraph;z-index:1168" coordorigin="3015,274" coordsize="2,2">
            <v:shape style="position:absolute;left:3015;top:274;width:2;height:2" coordorigin="3015,274" coordsize="0,0" path="m3015,274l3015,274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1"/>
          <w:u w:val="dotted" w:color="231F20"/>
        </w:rPr>
        <w:t>Kategorie</w:t>
      </w:r>
      <w:r>
        <w:rPr>
          <w:rFonts w:ascii="Theinhardt Black"/>
          <w:b/>
          <w:color w:val="231F20"/>
          <w:spacing w:val="-1"/>
          <w:u w:val="dotted" w:color="231F20"/>
        </w:rPr>
        <w:t> </w:t>
      </w:r>
      <w:r>
        <w:rPr>
          <w:rFonts w:ascii="Theinhardt Black"/>
          <w:b/>
          <w:color w:val="231F20"/>
          <w:u w:val="dotted" w:color="231F20"/>
        </w:rPr>
        <w:t>B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25"/>
        </w:rPr>
        <w:t> </w:t>
      </w:r>
      <w:r>
        <w:rPr>
          <w:rFonts w:ascii="Theinhardt Black"/>
          <w:b/>
          <w:color w:val="231F20"/>
          <w:spacing w:val="1"/>
          <w:u w:val="dotted" w:color="231F20"/>
        </w:rPr>
        <w:t>PlusEnergieBauten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Heading2"/>
        <w:spacing w:line="240" w:lineRule="auto"/>
        <w:ind w:left="115" w:right="0"/>
        <w:jc w:val="left"/>
      </w:pPr>
      <w:r>
        <w:rPr>
          <w:color w:val="231F20"/>
        </w:rPr>
        <w:t>3.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-1"/>
          <w:position w:val="6"/>
          <w:sz w:val="10"/>
        </w:rPr>
        <w:t>®</w:t>
      </w:r>
      <w:r>
        <w:rPr>
          <w:color w:val="231F20"/>
          <w:spacing w:val="-1"/>
        </w:rPr>
        <w:t>-Solarpreis</w:t>
      </w:r>
      <w:r>
        <w:rPr/>
      </w:r>
    </w:p>
    <w:p>
      <w:pPr>
        <w:spacing w:line="230" w:lineRule="exact" w:before="29"/>
        <w:ind w:left="115" w:right="113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Kaiser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Unterengstringen/ZH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anstelle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50-jährigen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Einfamilienhauses</w:t>
      </w:r>
      <w:r>
        <w:rPr>
          <w:rFonts w:ascii="Theinhardt Bold" w:hAnsi="Theinhardt Bold" w:cs="Theinhardt Bold" w:eastAsia="Theinhardt Bold"/>
          <w:b/>
          <w:bCs/>
          <w:color w:val="231F20"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PlusEnergie-Mehrfamilienhaus.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energieeffizienter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optimaler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Miner-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gie-P-Dämmung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modernen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Haushaltsgeräten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Ersatzneubau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Gesamtener-</w:t>
      </w:r>
      <w:r>
        <w:rPr>
          <w:rFonts w:ascii="Theinhardt Bold" w:hAnsi="Theinhardt Bold" w:cs="Theinhardt Bold" w:eastAsia="Theinhardt Bold"/>
          <w:b/>
          <w:bCs/>
          <w:color w:val="231F20"/>
          <w:spacing w:val="4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19’900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kWh/a auf.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solarbetriebene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Energiesystem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generiert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7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Erdsonden-Wärmepumpe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versorgt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alle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separat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frischer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Luft.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integrierte,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seitenbündige,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29.9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PV-Flachdachanlage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29’100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231F20"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damit 147% des Eigenenergiebedarfs.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dem Solarstromüberschuss von 9’200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könnte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emissionsfreies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Elektroauto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knapp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zweimal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Welt umrunden.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18"/>
            <w:col w:w="8045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147%-PEB-Ersatzbau Kaiser, Unterengstringen/ZH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2"/>
        <w:spacing w:line="230" w:lineRule="exact" w:before="52"/>
        <w:ind w:right="7"/>
        <w:jc w:val="both"/>
      </w:pPr>
      <w:r>
        <w:rPr>
          <w:color w:val="231F20"/>
        </w:rPr>
        <w:t>Das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Unterengstringen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erstellte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Ersatz-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Mehrfamilienhaus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(MFH)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drei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Wohnein-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heiten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zeigt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exemplarisch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gelungene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Ver-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bindung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23"/>
        </w:rPr>
        <w:t> </w:t>
      </w:r>
      <w:r>
        <w:rPr>
          <w:color w:val="231F20"/>
        </w:rPr>
        <w:t>Ästhetik,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Energieeffizienz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verdichtetem</w:t>
      </w:r>
      <w:r>
        <w:rPr>
          <w:color w:val="231F20"/>
          <w:spacing w:val="-4"/>
        </w:rPr>
        <w:t> </w:t>
      </w:r>
      <w:r>
        <w:rPr>
          <w:color w:val="231F20"/>
        </w:rPr>
        <w:t>Bauen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auf.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perfekt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dachin-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tegrierte,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grossflächige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Photovoltaikanlage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monokristallinen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Zellen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erzeugt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jährlich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29’100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kWh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elektrische</w:t>
      </w:r>
      <w:r>
        <w:rPr>
          <w:color w:val="231F20"/>
          <w:spacing w:val="-2"/>
        </w:rPr>
        <w:t> Energie.</w:t>
      </w:r>
      <w:r>
        <w:rPr/>
      </w:r>
    </w:p>
    <w:p>
      <w:pPr>
        <w:spacing w:line="230" w:lineRule="exact" w:before="0"/>
        <w:ind w:left="101" w:right="7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Gebäude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überschreitet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dank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guter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Minergie-P-Eco-Dämmung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Schwelle</w:t>
      </w:r>
      <w:r>
        <w:rPr>
          <w:rFonts w:ascii="Theinhardt Regular" w:hAnsi="Theinhardt Regular" w:cs="Theinhardt Regular" w:eastAsia="Theinhardt Regular"/>
          <w:color w:val="231F20"/>
          <w:spacing w:val="5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zum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PlusEnergieBau</w:t>
      </w:r>
      <w:r>
        <w:rPr>
          <w:rFonts w:ascii="Theinhardt Regular" w:hAnsi="Theinhardt Regular" w:cs="Theinhardt Regular" w:eastAsia="Theinhardt Regular"/>
          <w:color w:val="231F20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einer</w:t>
      </w:r>
      <w:r>
        <w:rPr>
          <w:rFonts w:ascii="Theinhardt Regular" w:hAnsi="Theinhardt Regular" w:cs="Theinhardt Regular" w:eastAsia="Theinhardt Regular"/>
          <w:color w:val="231F20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Eigenener-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gieversorgung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147%.</w:t>
      </w:r>
      <w:r>
        <w:rPr>
          <w:rFonts w:ascii="Theinhardt Regular" w:hAnsi="Theinhardt Regular" w:cs="Theinhardt Regular" w:eastAsia="Theinhardt Regular"/>
          <w:color w:val="231F20"/>
          <w:spacing w:val="-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Es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erfüllt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dazu</w:t>
      </w:r>
      <w:r>
        <w:rPr>
          <w:rFonts w:ascii="Theinhardt Regular" w:hAnsi="Theinhardt Regular" w:cs="Theinhardt Regular" w:eastAsia="Theinhardt Regular"/>
          <w:color w:val="231F20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alle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ästhetischen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Ansprüche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eines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modernen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MFH.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Aus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einem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Einfamilienhaus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entstand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ein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Dreifamilienhaus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Holzbauweise,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bei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vollem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Komfort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nur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noch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19’900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oder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44 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 benötigt.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0" w:lineRule="exact" w:before="0"/>
        <w:ind w:left="101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Lärmbelastung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Flughafens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er-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fordert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einen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besonderen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Schallschutz.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Zwischen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PV-Anlage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obersten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Geschossdecke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besteht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Luftschicht,</w:t>
      </w:r>
      <w:r>
        <w:rPr>
          <w:rFonts w:ascii="Theinhardt Regular" w:hAnsi="Theinhardt Regular" w:cs="Theinhardt Regular" w:eastAsia="Theinhardt Regular"/>
          <w:color w:val="231F20"/>
          <w:spacing w:val="-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gleichzeitig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auch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sommerlicher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Wärme-</w:t>
      </w:r>
      <w:r>
        <w:rPr>
          <w:rFonts w:ascii="Theinhardt Regular" w:hAnsi="Theinhardt Regular" w:cs="Theinhardt Regular" w:eastAsia="Theinhardt Regular"/>
          <w:color w:val="231F20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schutz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dient.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solarbetriebenen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Erdson-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nutzen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Wärmepumpe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geo-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thermische</w:t>
      </w:r>
      <w:r>
        <w:rPr>
          <w:rFonts w:ascii="Theinhardt Regular" w:hAnsi="Theinhardt Regular" w:cs="Theinhardt Regular" w:eastAsia="Theinhardt Regular"/>
          <w:color w:val="231F20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Wärme</w:t>
      </w:r>
      <w:r>
        <w:rPr>
          <w:rFonts w:ascii="Theinhardt Regular" w:hAnsi="Theinhardt Regular" w:cs="Theinhardt Regular" w:eastAsia="Theinhardt Regular"/>
          <w:color w:val="231F20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für</w:t>
      </w:r>
      <w:r>
        <w:rPr>
          <w:rFonts w:ascii="Theinhardt Regular" w:hAnsi="Theinhardt Regular" w:cs="Theinhardt Regular" w:eastAsia="Theinhardt Regular"/>
          <w:color w:val="231F20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Brauchwasser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Heizung.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effiziente,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auf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Strom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basierende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Energiekonzept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liefert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zur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100%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Eigenenergieversorgung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 noch 9’200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Solarstromüberschüsse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ans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öffentliche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Netz,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welches</w:t>
      </w:r>
      <w:r>
        <w:rPr>
          <w:rFonts w:ascii="Theinhardt Regular" w:hAnsi="Theinhardt Regular" w:cs="Theinhardt Regular" w:eastAsia="Theinhardt Regular"/>
          <w:color w:val="231F20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als</w:t>
      </w:r>
      <w:r>
        <w:rPr>
          <w:rFonts w:ascii="Theinhardt Regular" w:hAnsi="Theinhardt Regular" w:cs="Theinhardt Regular" w:eastAsia="Theinhardt Regular"/>
          <w:color w:val="231F20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virtueller</w:t>
      </w:r>
      <w:r>
        <w:rPr>
          <w:rFonts w:ascii="Theinhardt Regular" w:hAnsi="Theinhardt Regular" w:cs="Theinhardt Regular" w:eastAsia="Theinhardt Regular"/>
          <w:color w:val="231F20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Speicher</w:t>
      </w:r>
      <w:r>
        <w:rPr>
          <w:rFonts w:ascii="Theinhardt Regular" w:hAnsi="Theinhardt Regular" w:cs="Theinhardt Regular" w:eastAsia="Theinhardt Regular"/>
          <w:color w:val="231F20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dient.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betonierte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Keller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darüber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liegende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Holzbau</w:t>
      </w:r>
      <w:r>
        <w:rPr>
          <w:rFonts w:ascii="Theinhardt Regular" w:hAnsi="Theinhardt Regular" w:cs="Theinhardt Regular" w:eastAsia="Theinhardt Regular"/>
          <w:color w:val="231F20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sind</w:t>
      </w:r>
      <w:r>
        <w:rPr>
          <w:rFonts w:ascii="Theinhardt Regular" w:hAnsi="Theinhardt Regular" w:cs="Theinhardt Regular" w:eastAsia="Theinhardt Regular"/>
          <w:color w:val="231F20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überwiegend</w:t>
      </w:r>
      <w:r>
        <w:rPr>
          <w:rFonts w:ascii="Theinhardt Regular" w:hAnsi="Theinhardt Regular" w:cs="Theinhardt Regular" w:eastAsia="Theinhardt Regular"/>
          <w:color w:val="231F20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color w:val="231F20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lokalen</w:t>
      </w:r>
      <w:r>
        <w:rPr>
          <w:rFonts w:ascii="Theinhardt Regular" w:hAnsi="Theinhardt Regular" w:cs="Theinhardt Regular" w:eastAsia="Theinhardt Regular"/>
          <w:color w:val="231F20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Res-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sourcen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gebaut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Schwimmteich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im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Garten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wird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biologisch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geklärt.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 Dafür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erhält</w:t>
      </w:r>
      <w:r>
        <w:rPr>
          <w:rFonts w:ascii="Theinhardt Regular" w:hAnsi="Theinhardt Regular" w:cs="Theinhardt Regular" w:eastAsia="Theinhardt Regular"/>
          <w:color w:val="231F20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Familie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Kaiser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PlusEnergieBau-So-</w:t>
      </w:r>
      <w:r>
        <w:rPr>
          <w:rFonts w:ascii="Theinhardt Regular" w:hAnsi="Theinhardt Regular" w:cs="Theinhardt Regular" w:eastAsia="Theinhardt Regular"/>
          <w:color w:val="231F20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larpreis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2015.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52"/>
        <w:ind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4"/>
        </w:rPr>
        <w:t>L’immeuble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BEP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trois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appartements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construit</w:t>
      </w:r>
      <w:r>
        <w:rPr>
          <w:color w:val="231F20"/>
          <w:spacing w:val="23"/>
        </w:rPr>
        <w:t> </w:t>
      </w:r>
      <w:r>
        <w:rPr>
          <w:color w:val="231F20"/>
        </w:rPr>
        <w:t>à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Unterengstringen,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l’ancien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emplacement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d’une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maison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individuelle,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il-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lustre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manière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exemplaire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comment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allier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esthétique,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efficacité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énergétique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habitat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groupé.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Soigneusement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intégrée</w:t>
      </w:r>
      <w:r>
        <w:rPr>
          <w:color w:val="231F20"/>
          <w:spacing w:val="13"/>
        </w:rPr>
        <w:t> </w:t>
      </w:r>
      <w:r>
        <w:rPr>
          <w:color w:val="231F20"/>
        </w:rPr>
        <w:t>au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toit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et </w:t>
      </w:r>
      <w:r>
        <w:rPr>
          <w:color w:val="231F20"/>
        </w:rPr>
        <w:t>offrant </w:t>
      </w:r>
      <w:r>
        <w:rPr>
          <w:color w:val="231F20"/>
          <w:spacing w:val="-2"/>
        </w:rPr>
        <w:t>une</w:t>
      </w:r>
      <w:r>
        <w:rPr>
          <w:color w:val="231F20"/>
        </w:rPr>
        <w:t> </w:t>
      </w:r>
      <w:r>
        <w:rPr>
          <w:color w:val="231F20"/>
          <w:spacing w:val="-2"/>
        </w:rPr>
        <w:t>grande</w:t>
      </w:r>
      <w:r>
        <w:rPr>
          <w:color w:val="231F20"/>
        </w:rPr>
        <w:t> </w:t>
      </w:r>
      <w:r>
        <w:rPr>
          <w:color w:val="231F20"/>
          <w:spacing w:val="-1"/>
        </w:rPr>
        <w:t>superficie,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l’installation</w:t>
      </w:r>
      <w:r>
        <w:rPr>
          <w:color w:val="231F20"/>
          <w:spacing w:val="22"/>
        </w:rPr>
        <w:t> </w:t>
      </w:r>
      <w:r>
        <w:rPr>
          <w:color w:val="231F20"/>
        </w:rPr>
        <w:t>PV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cellules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monocristallines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fournit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29’100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kWh/a.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231F20"/>
          <w:spacing w:val="-1"/>
        </w:rPr>
        <w:t>Grâce</w:t>
      </w:r>
      <w:r>
        <w:rPr>
          <w:color w:val="231F20"/>
          <w:spacing w:val="26"/>
        </w:rPr>
        <w:t> </w:t>
      </w:r>
      <w:r>
        <w:rPr>
          <w:color w:val="231F20"/>
        </w:rPr>
        <w:t>à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une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bonne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isolation</w:t>
      </w:r>
      <w:r>
        <w:rPr>
          <w:color w:val="231F20"/>
          <w:spacing w:val="26"/>
        </w:rPr>
        <w:t> </w:t>
      </w:r>
      <w:r>
        <w:rPr>
          <w:color w:val="231F20"/>
        </w:rPr>
        <w:t>à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norme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Minergie-P-Eco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avec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une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autoproduction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de</w:t>
      </w:r>
      <w:r>
        <w:rPr>
          <w:color w:val="231F20"/>
        </w:rPr>
        <w:t> </w:t>
      </w:r>
      <w:r>
        <w:rPr>
          <w:color w:val="231F20"/>
          <w:spacing w:val="-1"/>
        </w:rPr>
        <w:t>147%,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ce</w:t>
      </w:r>
      <w:r>
        <w:rPr>
          <w:color w:val="231F20"/>
        </w:rPr>
        <w:t> </w:t>
      </w:r>
      <w:r>
        <w:rPr>
          <w:color w:val="231F20"/>
          <w:spacing w:val="-2"/>
        </w:rPr>
        <w:t>bâtiment</w:t>
      </w:r>
      <w:r>
        <w:rPr>
          <w:color w:val="231F20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bois</w:t>
      </w:r>
      <w:r>
        <w:rPr>
          <w:color w:val="231F20"/>
        </w:rPr>
        <w:t> </w:t>
      </w:r>
      <w:r>
        <w:rPr>
          <w:color w:val="231F20"/>
          <w:spacing w:val="-3"/>
        </w:rPr>
        <w:t>répond</w:t>
      </w:r>
      <w:r>
        <w:rPr>
          <w:color w:val="231F20"/>
        </w:rPr>
        <w:t> </w:t>
      </w:r>
      <w:r>
        <w:rPr>
          <w:color w:val="231F20"/>
          <w:spacing w:val="-3"/>
        </w:rPr>
        <w:t>large-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ment</w:t>
      </w:r>
      <w:r>
        <w:rPr>
          <w:color w:val="231F20"/>
          <w:spacing w:val="-16"/>
        </w:rPr>
        <w:t> </w:t>
      </w:r>
      <w:r>
        <w:rPr>
          <w:color w:val="231F20"/>
        </w:rPr>
        <w:t>aux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exigences</w:t>
      </w:r>
      <w:r>
        <w:rPr>
          <w:color w:val="231F20"/>
          <w:spacing w:val="-16"/>
        </w:rPr>
        <w:t> </w:t>
      </w:r>
      <w:r>
        <w:rPr>
          <w:color w:val="231F20"/>
        </w:rPr>
        <w:t>du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label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BEP.</w:t>
      </w:r>
      <w:r>
        <w:rPr>
          <w:color w:val="231F20"/>
          <w:spacing w:val="-23"/>
        </w:rPr>
        <w:t> </w:t>
      </w:r>
      <w:r>
        <w:rPr>
          <w:color w:val="231F20"/>
        </w:rPr>
        <w:t>Et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satisfait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tous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les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critères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esthétiques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d’un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immeuble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moderne.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trois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appartements,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rem-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place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avantageusement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maison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individuelle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d’origine,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assurant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confort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optimal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une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consommation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19’900</w:t>
      </w:r>
      <w:r>
        <w:rPr>
          <w:color w:val="231F20"/>
          <w:spacing w:val="28"/>
        </w:rPr>
        <w:t> </w:t>
      </w:r>
      <w:r>
        <w:rPr>
          <w:color w:val="231F20"/>
          <w:spacing w:val="-4"/>
        </w:rPr>
        <w:t>kWh/a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ou 44 </w:t>
      </w:r>
      <w:r>
        <w:rPr>
          <w:color w:val="231F20"/>
          <w:spacing w:val="-2"/>
        </w:rPr>
        <w:t>kWh/m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2"/>
        </w:rPr>
        <w:t>a.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231F20"/>
          <w:spacing w:val="-4"/>
        </w:rPr>
        <w:t>Les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nuisances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sonores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l’aéroport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ont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nécessité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mise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place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d’une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isolation</w:t>
      </w:r>
      <w:r>
        <w:rPr>
          <w:color w:val="231F20"/>
          <w:spacing w:val="48"/>
        </w:rPr>
        <w:t> </w:t>
      </w:r>
      <w:r>
        <w:rPr>
          <w:color w:val="231F20"/>
          <w:spacing w:val="-3"/>
        </w:rPr>
        <w:t>phonique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spécifique: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création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d’une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cou-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che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d’air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l’installation</w:t>
      </w:r>
      <w:r>
        <w:rPr>
          <w:color w:val="231F20"/>
          <w:spacing w:val="2"/>
        </w:rPr>
        <w:t> </w:t>
      </w:r>
      <w:r>
        <w:rPr>
          <w:color w:val="231F20"/>
        </w:rPr>
        <w:t>PV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le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fond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l’étage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supérieur,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laquelle</w:t>
      </w:r>
      <w:r>
        <w:rPr>
          <w:color w:val="231F20"/>
          <w:spacing w:val="10"/>
        </w:rPr>
        <w:t> </w:t>
      </w:r>
      <w:r>
        <w:rPr>
          <w:color w:val="231F20"/>
        </w:rPr>
        <w:t>sert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aussi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d’isolation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thermique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été.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Une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pompe</w:t>
      </w:r>
      <w:r>
        <w:rPr>
          <w:color w:val="231F20"/>
          <w:spacing w:val="25"/>
        </w:rPr>
        <w:t> </w:t>
      </w:r>
      <w:r>
        <w:rPr>
          <w:color w:val="231F20"/>
        </w:rPr>
        <w:t>à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chaleur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géothermique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assure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le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chauffage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l’air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l’eau.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concept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énergétique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couvre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l’intégralité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des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besoins</w:t>
      </w:r>
      <w:r>
        <w:rPr>
          <w:color w:val="231F20"/>
          <w:spacing w:val="17"/>
        </w:rPr>
        <w:t> </w:t>
      </w:r>
      <w:r>
        <w:rPr>
          <w:color w:val="231F20"/>
        </w:rPr>
        <w:t>du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bâtiment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permet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d’injecter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9’200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kWh/a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d’excédent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réseau,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qui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fait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dès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lors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batterie</w:t>
      </w:r>
      <w:r>
        <w:rPr>
          <w:color w:val="231F20"/>
        </w:rPr>
        <w:t> </w:t>
      </w:r>
      <w:r>
        <w:rPr>
          <w:color w:val="231F20"/>
          <w:spacing w:val="-1"/>
        </w:rPr>
        <w:t>virtuelle.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La</w:t>
      </w:r>
      <w:r>
        <w:rPr>
          <w:color w:val="231F20"/>
        </w:rPr>
        <w:t> </w:t>
      </w:r>
      <w:r>
        <w:rPr>
          <w:color w:val="231F20"/>
          <w:spacing w:val="-2"/>
        </w:rPr>
        <w:t>cave</w:t>
      </w:r>
      <w:r>
        <w:rPr>
          <w:color w:val="231F20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2"/>
        </w:rPr>
        <w:t>béton</w:t>
      </w:r>
      <w:r>
        <w:rPr>
          <w:color w:val="231F20"/>
        </w:rPr>
        <w:t> </w:t>
      </w:r>
      <w:r>
        <w:rPr>
          <w:color w:val="231F20"/>
          <w:spacing w:val="-1"/>
        </w:rPr>
        <w:t>et</w:t>
      </w:r>
      <w:r>
        <w:rPr>
          <w:color w:val="231F20"/>
        </w:rPr>
        <w:t> </w:t>
      </w:r>
      <w:r>
        <w:rPr>
          <w:color w:val="231F20"/>
          <w:spacing w:val="-2"/>
        </w:rPr>
        <w:t>son</w:t>
      </w:r>
      <w:r>
        <w:rPr>
          <w:color w:val="231F20"/>
        </w:rPr>
        <w:t> </w:t>
      </w:r>
      <w:r>
        <w:rPr>
          <w:color w:val="231F20"/>
          <w:spacing w:val="-3"/>
        </w:rPr>
        <w:t>re-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vêtement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bois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sont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principalement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issus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ressources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locales. </w:t>
      </w:r>
      <w:r>
        <w:rPr>
          <w:color w:val="231F20"/>
        </w:rPr>
        <w:t>Dans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jardin, l’étang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natation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bio-filtré.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Pour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cet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immeuble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innovant,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famille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Kaiser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reçoit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Prix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Solaire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BEP </w:t>
      </w:r>
      <w:r>
        <w:rPr>
          <w:color w:val="231F20"/>
          <w:spacing w:val="-1"/>
        </w:rPr>
        <w:t>2015.</w:t>
      </w:r>
      <w:r>
        <w:rPr>
          <w:i w:val="0"/>
        </w:rPr>
      </w:r>
    </w:p>
    <w:p>
      <w:pPr>
        <w:tabs>
          <w:tab w:pos="3433" w:val="left" w:leader="none"/>
        </w:tabs>
        <w:spacing w:before="73"/>
        <w:ind w:left="101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37" w:val="left" w:leader="none"/>
        </w:tabs>
        <w:spacing w:line="20" w:lineRule="atLeast"/>
        <w:ind w:left="101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5" w:val="left" w:leader="none"/>
        </w:tabs>
        <w:spacing w:line="160" w:lineRule="exact" w:before="0"/>
        <w:ind w:left="101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37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09" w:val="left" w:leader="none"/>
        </w:tabs>
        <w:spacing w:line="160" w:lineRule="exact" w:before="0"/>
        <w:ind w:left="101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  <w:t>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33"/>
          <w:sz w:val="14"/>
        </w:rPr>
        <w:t> </w:t>
      </w:r>
      <w:r>
        <w:rPr>
          <w:rFonts w:ascii="Theinhardt Regular"/>
          <w:color w:val="231F20"/>
          <w:sz w:val="14"/>
        </w:rPr>
        <w:t>0.09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96" w:val="left" w:leader="none"/>
          <w:tab w:pos="1313" w:val="left" w:leader="none"/>
        </w:tabs>
        <w:spacing w:line="207" w:lineRule="auto" w:before="5"/>
        <w:ind w:left="101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  <w:tab/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17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0.70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41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53"/>
        <w:gridCol w:w="485"/>
        <w:gridCol w:w="647"/>
      </w:tblGrid>
      <w:tr>
        <w:trPr>
          <w:trHeight w:val="283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451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4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97" w:right="0" w:firstLine="2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1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41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233" w:right="0" w:hanging="44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2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8’136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4"/>
                <w:sz w:val="14"/>
                <w:szCs w:val="14"/>
              </w:rPr>
              <w:t>11’726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7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4"/>
                <w:sz w:val="14"/>
              </w:rPr>
              <w:t>4</w:t>
            </w:r>
            <w:r>
              <w:rPr>
                <w:rFonts w:ascii="Theinhardt Bold"/>
                <w:b/>
                <w:color w:val="231F20"/>
                <w:sz w:val="14"/>
              </w:rPr>
              <w:t>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3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19’862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43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5" w:right="31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Energieversorgung</w:t>
            </w:r>
            <w:r>
              <w:rPr>
                <w:rFonts w:ascii="Theinhardt Bold"/>
                <w:b/>
                <w:color w:val="231F20"/>
                <w:spacing w:val="2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Eigen-EV:</w:t>
            </w:r>
            <w:r>
              <w:rPr>
                <w:rFonts w:ascii="Theinhardt Regular"/>
                <w:color w:val="231F20"/>
                <w:spacing w:val="33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21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color w:val="231F20"/>
                <w:spacing w:val="3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pacing w:val="33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233  </w:t>
            </w:r>
            <w:r>
              <w:rPr>
                <w:rFonts w:ascii="Theinhardt Regular"/>
                <w:color w:val="231F20"/>
                <w:spacing w:val="22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29.9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72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98" w:lineRule="exact"/>
              <w:ind w:left="4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125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160" w:lineRule="exact"/>
              <w:ind w:left="106" w:right="130" w:firstLine="11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72" w:lineRule="exact"/>
              <w:ind w:left="1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98" w:lineRule="exact"/>
              <w:ind w:left="13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29’100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413" w:val="left" w:leader="none"/>
          <w:tab w:pos="2861" w:val="left" w:leader="none"/>
        </w:tabs>
        <w:spacing w:line="172" w:lineRule="exact" w:before="110"/>
        <w:ind w:left="101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00" w:val="left" w:leader="none"/>
          <w:tab w:pos="2803" w:val="left" w:leader="none"/>
        </w:tabs>
        <w:spacing w:line="160" w:lineRule="exact" w:before="0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w w:val="95"/>
          <w:sz w:val="14"/>
          <w:szCs w:val="14"/>
        </w:rPr>
        <w:t>147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29’100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3" w:val="left" w:leader="none"/>
          <w:tab w:pos="2803" w:val="left" w:leader="none"/>
        </w:tabs>
        <w:spacing w:line="160" w:lineRule="exact" w:before="0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19’862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78" w:val="left" w:leader="none"/>
          <w:tab w:pos="2883" w:val="left" w:leader="none"/>
        </w:tabs>
        <w:spacing w:line="172" w:lineRule="exact" w:before="0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47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9’238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01" w:right="86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EKZ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28. </w:t>
      </w:r>
      <w:r>
        <w:rPr>
          <w:rFonts w:ascii="Theinhardt Regular" w:hAnsi="Theinhardt Regular"/>
          <w:color w:val="231F20"/>
          <w:spacing w:val="1"/>
          <w:sz w:val="14"/>
        </w:rPr>
        <w:t>Juli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2015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Daniel</w:t>
      </w:r>
      <w:r>
        <w:rPr>
          <w:rFonts w:ascii="Theinhardt Regular" w:hAnsi="Theinhardt Regular"/>
          <w:color w:val="231F20"/>
          <w:sz w:val="14"/>
        </w:rPr>
        <w:t> Meier,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058</w:t>
      </w:r>
      <w:r>
        <w:rPr>
          <w:rFonts w:ascii="Theinhardt Regular" w:hAnsi="Theinhardt Regular"/>
          <w:color w:val="231F20"/>
          <w:sz w:val="14"/>
        </w:rPr>
        <w:t> 359 </w:t>
      </w:r>
      <w:r>
        <w:rPr>
          <w:rFonts w:ascii="Theinhardt Regular" w:hAnsi="Theinhardt Regular"/>
          <w:color w:val="231F20"/>
          <w:spacing w:val="-2"/>
          <w:sz w:val="14"/>
        </w:rPr>
        <w:t>57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1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1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1" w:right="2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Alexander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Manuela</w:t>
      </w:r>
      <w:r>
        <w:rPr>
          <w:rFonts w:ascii="Theinhardt Regular"/>
          <w:color w:val="231F20"/>
          <w:sz w:val="14"/>
        </w:rPr>
        <w:t> Kaiser, </w:t>
      </w:r>
      <w:r>
        <w:rPr>
          <w:rFonts w:ascii="Theinhardt Regular"/>
          <w:color w:val="231F20"/>
          <w:spacing w:val="2"/>
          <w:sz w:val="14"/>
        </w:rPr>
        <w:t>Rebhaldenstrasse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8103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Unterengstringen,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401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45</w:t>
      </w:r>
      <w:r>
        <w:rPr>
          <w:rFonts w:ascii="Theinhardt Regular"/>
          <w:sz w:val="14"/>
        </w:rPr>
      </w:r>
    </w:p>
    <w:p>
      <w:pPr>
        <w:spacing w:line="172" w:lineRule="exact" w:before="41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1" w:right="2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kämpfen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architektur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1"/>
          <w:sz w:val="14"/>
        </w:rPr>
        <w:t>Sigrun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Rottensteiner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Badenerstrasse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571,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8048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1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344</w:t>
      </w:r>
      <w:r>
        <w:rPr>
          <w:rFonts w:ascii="Theinhardt Regular"/>
          <w:color w:val="231F20"/>
          <w:sz w:val="14"/>
        </w:rPr>
        <w:t> 46 </w:t>
      </w:r>
      <w:r>
        <w:rPr>
          <w:rFonts w:ascii="Theinhardt Regular"/>
          <w:color w:val="231F20"/>
          <w:spacing w:val="-4"/>
          <w:sz w:val="14"/>
        </w:rPr>
        <w:t>37</w:t>
      </w:r>
      <w:hyperlink r:id="rId5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rottensteiner@kaempfen.com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1" w:right="1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LEC </w:t>
      </w:r>
      <w:r>
        <w:rPr>
          <w:rFonts w:ascii="Theinhardt Regular" w:hAnsi="Theinhardt Regular"/>
          <w:color w:val="231F20"/>
          <w:spacing w:val="1"/>
          <w:sz w:val="14"/>
        </w:rPr>
        <w:t>Leutenegger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Control,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Werkstrasse</w:t>
      </w:r>
      <w:r>
        <w:rPr>
          <w:rFonts w:ascii="Theinhardt Regular" w:hAnsi="Theinhardt Regular"/>
          <w:color w:val="231F20"/>
          <w:sz w:val="14"/>
        </w:rPr>
        <w:t> 3,</w:t>
      </w:r>
      <w:r>
        <w:rPr>
          <w:rFonts w:ascii="Theinhardt Regular" w:hAnsi="Theinhardt Regular"/>
          <w:color w:val="231F20"/>
          <w:spacing w:val="5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8700 </w:t>
      </w:r>
      <w:r>
        <w:rPr>
          <w:rFonts w:ascii="Theinhardt Regular" w:hAnsi="Theinhardt Regular"/>
          <w:color w:val="231F20"/>
          <w:spacing w:val="1"/>
          <w:sz w:val="14"/>
        </w:rPr>
        <w:t>Küsnacht,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910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HLS-Planung: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1" w:right="2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Naef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Energietechnik,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René</w:t>
      </w:r>
      <w:r>
        <w:rPr>
          <w:rFonts w:ascii="Theinhardt Regular" w:hAnsi="Theinhardt Regular"/>
          <w:color w:val="231F20"/>
          <w:sz w:val="14"/>
        </w:rPr>
        <w:t> Naef, </w:t>
      </w:r>
      <w:r>
        <w:rPr>
          <w:rFonts w:ascii="Theinhardt Regular" w:hAnsi="Theinhardt Regular"/>
          <w:color w:val="231F20"/>
          <w:spacing w:val="2"/>
          <w:sz w:val="14"/>
        </w:rPr>
        <w:t>Jupiterstrasse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pacing w:val="5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8032 </w:t>
      </w:r>
      <w:r>
        <w:rPr>
          <w:rFonts w:ascii="Theinhardt Regular" w:hAnsi="Theinhardt Regular"/>
          <w:color w:val="231F20"/>
          <w:spacing w:val="1"/>
          <w:sz w:val="14"/>
        </w:rPr>
        <w:t>Zürich,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380</w:t>
      </w:r>
      <w:r>
        <w:rPr>
          <w:rFonts w:ascii="Theinhardt Regular" w:hAnsi="Theinhardt Regular"/>
          <w:color w:val="231F20"/>
          <w:sz w:val="14"/>
        </w:rPr>
        <w:t> 36 </w:t>
      </w:r>
      <w:r>
        <w:rPr>
          <w:rFonts w:ascii="Theinhardt Regular" w:hAnsi="Theinhardt Regular"/>
          <w:color w:val="231F20"/>
          <w:spacing w:val="1"/>
          <w:sz w:val="14"/>
        </w:rPr>
        <w:t>88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1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color w:val="231F20"/>
            <w:spacing w:val="1"/>
            <w:sz w:val="14"/>
          </w:rPr>
          <w:t>naef@naef-energie.ch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Holzbau: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1" w:right="2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Timbatec,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Andreas</w:t>
      </w:r>
      <w:r>
        <w:rPr>
          <w:rFonts w:ascii="Theinhardt Regular" w:hAnsi="Theinhardt Regular"/>
          <w:color w:val="231F20"/>
          <w:sz w:val="14"/>
        </w:rPr>
        <w:t> Burgherr, </w:t>
      </w:r>
      <w:r>
        <w:rPr>
          <w:rFonts w:ascii="Theinhardt Regular" w:hAnsi="Theinhardt Regular"/>
          <w:color w:val="231F20"/>
          <w:spacing w:val="2"/>
          <w:sz w:val="14"/>
        </w:rPr>
        <w:t>Weinbergstrasse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41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8006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044</w:t>
      </w:r>
      <w:r>
        <w:rPr>
          <w:rFonts w:ascii="Theinhardt Regular" w:hAnsi="Theinhardt Regular"/>
          <w:color w:val="231F20"/>
          <w:sz w:val="14"/>
        </w:rPr>
        <w:t> 260 30 30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1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pacing w:val="1"/>
            <w:sz w:val="14"/>
          </w:rPr>
          <w:t>andreas.burgherr@timbatec.ch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Technische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Beratung: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1" w:right="2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26.382236pt;width:167.25pt;height:.45pt;mso-position-horizontal-relative:page;mso-position-vertical-relative:paragraph;z-index:1192" coordorigin="7710,528" coordsize="3345,9">
            <v:group style="position:absolute;left:7732;top:532;width:3311;height:2" coordorigin="7732,532" coordsize="3311,2">
              <v:shape style="position:absolute;left:7732;top:532;width:3311;height:2" coordorigin="7732,532" coordsize="3311,0" path="m7732,532l11042,532e" filled="false" stroked="true" strokeweight=".425pt" strokecolor="#231f20">
                <v:path arrowok="t"/>
                <v:stroke dashstyle="dash"/>
              </v:shape>
            </v:group>
            <v:group style="position:absolute;left:7714;top:532;width:2;height:2" coordorigin="7714,532" coordsize="2,2">
              <v:shape style="position:absolute;left:7714;top:532;width:2;height:2" coordorigin="7714,532" coordsize="0,0" path="m7714,532l7714,532e" filled="false" stroked="true" strokeweight=".425pt" strokecolor="#231f20">
                <v:path arrowok="t"/>
              </v:shape>
            </v:group>
            <v:group style="position:absolute;left:11051;top:532;width:2;height:2" coordorigin="11051,532" coordsize="2,2">
              <v:shape style="position:absolute;left:11051;top:532;width:2;height:2" coordorigin="11051,532" coordsize="0,0" path="m11051,532l11051,532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color w:val="231F20"/>
          <w:spacing w:val="2"/>
          <w:sz w:val="14"/>
        </w:rPr>
        <w:t>Amstein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Walthert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1"/>
          <w:sz w:val="14"/>
        </w:rPr>
        <w:t>Marcus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Knapp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Andreasstrasse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305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91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</w:t>
      </w:r>
      <w:hyperlink r:id="rId8">
        <w:r>
          <w:rPr>
            <w:rFonts w:ascii="Theinhardt Regular" w:hAnsi="Theinhardt Regular"/>
            <w:color w:val="231F20"/>
            <w:spacing w:val="46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marcus.knapp@amstein-walthert.ch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7" w:space="115"/>
            <w:col w:w="3447" w:space="130"/>
            <w:col w:w="3561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21118" cy="580986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118" cy="580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84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59403" cy="235000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403" cy="2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position w:val="11"/>
          <w:sz w:val="20"/>
        </w:rPr>
        <w:drawing>
          <wp:inline distT="0" distB="0" distL="0" distR="0">
            <wp:extent cx="3166100" cy="228276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00" cy="228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1"/>
          <w:sz w:val="20"/>
        </w:rPr>
      </w:r>
    </w:p>
    <w:p>
      <w:pPr>
        <w:tabs>
          <w:tab w:pos="5467" w:val="left" w:leader="none"/>
        </w:tabs>
        <w:spacing w:before="15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8"/>
          <w:szCs w:val="28"/>
        </w:rPr>
        <w:sectPr>
          <w:pgSz w:w="11910" w:h="16840"/>
          <w:pgMar w:top="860" w:bottom="280" w:left="740" w:right="44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Anstelle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des alten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enstand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PEB-Ersatz-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bau für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drei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Familien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 Unterenstringen/ZH.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29.9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starken,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ganzflächig,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seiten- und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traufbündig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integrierten PV-Anlage 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neue Solardach 29’100 kWh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Jahr.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Das </w:t>
      </w:r>
      <w:r>
        <w:rPr>
          <w:rFonts w:ascii="Theinhardt Bold"/>
          <w:b/>
          <w:color w:val="231F20"/>
          <w:spacing w:val="-1"/>
          <w:sz w:val="14"/>
        </w:rPr>
        <w:t>Einfamilienhaus</w:t>
      </w:r>
      <w:r>
        <w:rPr>
          <w:rFonts w:ascii="Theinhardt Bold"/>
          <w:b/>
          <w:color w:val="231F20"/>
          <w:sz w:val="14"/>
        </w:rPr>
        <w:t> aus </w:t>
      </w:r>
      <w:r>
        <w:rPr>
          <w:rFonts w:ascii="Theinhardt Bold"/>
          <w:b/>
          <w:color w:val="231F20"/>
          <w:spacing w:val="-1"/>
          <w:sz w:val="14"/>
        </w:rPr>
        <w:t>dem</w:t>
      </w:r>
      <w:r>
        <w:rPr>
          <w:rFonts w:ascii="Theinhardt Bold"/>
          <w:b/>
          <w:color w:val="231F20"/>
          <w:sz w:val="14"/>
        </w:rPr>
        <w:t> Jahr 1965 </w:t>
      </w:r>
      <w:r>
        <w:rPr>
          <w:rFonts w:ascii="Theinhardt Bold"/>
          <w:b/>
          <w:color w:val="231F20"/>
          <w:spacing w:val="-1"/>
          <w:sz w:val="14"/>
        </w:rPr>
        <w:t>wurde</w:t>
      </w:r>
      <w:r>
        <w:rPr>
          <w:rFonts w:ascii="Theinhardt Bold"/>
          <w:b/>
          <w:color w:val="231F20"/>
          <w:spacing w:val="44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durch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147%-PEB</w:t>
      </w:r>
      <w:r>
        <w:rPr>
          <w:rFonts w:ascii="Theinhardt Bold"/>
          <w:b/>
          <w:color w:val="231F20"/>
          <w:sz w:val="14"/>
        </w:rPr>
        <w:t> ersetzt.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7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Dachansicht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vom Architekturbüro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«kämpfen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architektur» vollflächig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integrierten,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Süden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ausgerichteten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um 6° geneigten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337" w:right="19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PV-Anlage mit </w:t>
      </w:r>
      <w:r>
        <w:rPr>
          <w:rFonts w:ascii="Theinhardt Bold"/>
          <w:b/>
          <w:color w:val="231F20"/>
          <w:spacing w:val="-1"/>
          <w:sz w:val="14"/>
        </w:rPr>
        <w:t>monokristallinen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Zellen</w:t>
      </w:r>
      <w:r>
        <w:rPr>
          <w:rFonts w:ascii="Theinhardt Bold"/>
          <w:b/>
          <w:color w:val="231F20"/>
          <w:sz w:val="14"/>
        </w:rPr>
        <w:t> und acht</w:t>
      </w:r>
      <w:r>
        <w:rPr>
          <w:rFonts w:ascii="Theinhardt Bold"/>
          <w:b/>
          <w:color w:val="231F20"/>
          <w:spacing w:val="42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Absturzsicherungsstellen.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33" w:space="139"/>
            <w:col w:w="3315" w:space="257"/>
            <w:col w:w="3586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9"/>
      <w:ind w:left="115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ttensteiner@kaempfen.com" TargetMode="External"/><Relationship Id="rId6" Type="http://schemas.openxmlformats.org/officeDocument/2006/relationships/hyperlink" Target="mailto:naef@naef-energie.ch" TargetMode="External"/><Relationship Id="rId7" Type="http://schemas.openxmlformats.org/officeDocument/2006/relationships/hyperlink" Target="mailto:andreas.burgherr@timbatec.ch" TargetMode="External"/><Relationship Id="rId8" Type="http://schemas.openxmlformats.org/officeDocument/2006/relationships/hyperlink" Target="mailto:marcus.knapp@amstein-walthert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2015-10-15T09:16:47Z</dcterms:created>
  <dcterms:modified xsi:type="dcterms:W3CDTF">2015-10-15T09:16:47Z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2015-10-15T00:00:00Z</vt:filetime>
  </property>
</Properties>
</file>