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8" w:val="left" w:leader="none"/>
        </w:tabs>
        <w:spacing w:line="230" w:lineRule="exact" w:before="38"/>
        <w:ind w:left="119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9.2006pt;margin-top:14.147207pt;width:.1pt;height:.1pt;mso-position-horizontal-relative:page;mso-position-vertical-relative:paragraph;z-index:-4000" coordorigin="584,283" coordsize="2,2">
            <v:shape style="position:absolute;left:584;top:283;width:2;height:2" coordorigin="584,283" coordsize="0,0" path="m584,283l584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1.373596pt;margin-top:14.147207pt;width:.1pt;height:.1pt;mso-position-horizontal-relative:page;mso-position-vertical-relative:paragraph;z-index:1120" coordorigin="3027,283" coordsize="2,2">
            <v:shape style="position:absolute;left:3027;top:283;width:2;height:2" coordorigin="3027,283" coordsize="0,0" path="m3027,283l3027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9.2006pt;margin-top:25.647207pt;width:.1pt;height:.1pt;mso-position-horizontal-relative:page;mso-position-vertical-relative:paragraph;z-index:-3952" coordorigin="584,513" coordsize="2,2">
            <v:shape style="position:absolute;left:584;top:513;width:2;height:2" coordorigin="584,513" coordsize="0,0" path="m584,513l584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1.373596pt;margin-top:25.647207pt;width:.1pt;height:.1pt;mso-position-horizontal-relative:page;mso-position-vertical-relative:paragraph;z-index:1168" coordorigin="3027,513" coordsize="2,2">
            <v:shape style="position:absolute;left:3027;top:513;width:2;height:2" coordorigin="3027,513" coordsize="0,0" path="m3027,513l3027,5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2015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19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Schreinermeister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René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Städler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12-Familien-Holzhaus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Rebstein/SG.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energieeffizienten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Haushaltsgeräten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benötigt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Mehrfamilienhaus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(MFH)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nur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59’200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Alle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vier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Fassaden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sind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sorgfältig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integrierten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Solarzel-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ausgestattet,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24’300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produzieren.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44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kW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Ost-West-PV-Flachdachanlage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installiert,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gut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39’100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tagsüber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eine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gleichmässige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Stromerzeugung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gewährleistet.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Carport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alle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70’100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Solarkollektoren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liefern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zusätzlich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10’800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Wärmeenergie.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beträgt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MFH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sozialver-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träglichen Mietzinsen 80’800 kWh/a oder 136%.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60" w:space="106"/>
            <w:col w:w="8044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136%-PEB-MFH Städler, 9445 Rebstein/SG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Das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Rebstein</w:t>
      </w:r>
      <w:r>
        <w:rPr>
          <w:color w:val="231F20"/>
          <w:spacing w:val="13"/>
        </w:rPr>
        <w:t> </w:t>
      </w:r>
      <w:r>
        <w:rPr>
          <w:color w:val="231F20"/>
        </w:rPr>
        <w:t>errichtete</w:t>
      </w:r>
      <w:r>
        <w:rPr>
          <w:color w:val="231F20"/>
          <w:spacing w:val="13"/>
        </w:rPr>
        <w:t> </w:t>
      </w:r>
      <w:r>
        <w:rPr>
          <w:color w:val="231F20"/>
        </w:rPr>
        <w:t>Mehrfamilien-</w:t>
      </w:r>
      <w:r>
        <w:rPr>
          <w:color w:val="231F20"/>
        </w:rPr>
        <w:t> haus</w:t>
      </w:r>
      <w:r>
        <w:rPr>
          <w:color w:val="231F20"/>
          <w:spacing w:val="10"/>
        </w:rPr>
        <w:t> </w:t>
      </w:r>
      <w:r>
        <w:rPr>
          <w:color w:val="231F20"/>
        </w:rPr>
        <w:t>mit</w:t>
      </w:r>
      <w:r>
        <w:rPr>
          <w:color w:val="231F20"/>
          <w:spacing w:val="10"/>
        </w:rPr>
        <w:t> </w:t>
      </w:r>
      <w:r>
        <w:rPr>
          <w:color w:val="231F20"/>
        </w:rPr>
        <w:t>12</w:t>
      </w:r>
      <w:r>
        <w:rPr>
          <w:color w:val="231F20"/>
          <w:spacing w:val="10"/>
        </w:rPr>
        <w:t> </w:t>
      </w:r>
      <w:r>
        <w:rPr>
          <w:color w:val="231F20"/>
        </w:rPr>
        <w:t>Wohneinheiten</w:t>
      </w:r>
      <w:r>
        <w:rPr>
          <w:color w:val="231F20"/>
          <w:spacing w:val="10"/>
        </w:rPr>
        <w:t> </w:t>
      </w:r>
      <w:r>
        <w:rPr>
          <w:color w:val="231F20"/>
        </w:rPr>
        <w:t>zeigt</w:t>
      </w:r>
      <w:r>
        <w:rPr>
          <w:color w:val="231F20"/>
          <w:spacing w:val="10"/>
        </w:rPr>
        <w:t> </w:t>
      </w:r>
      <w:r>
        <w:rPr>
          <w:color w:val="231F20"/>
        </w:rPr>
        <w:t>exempla-</w:t>
      </w:r>
      <w:r>
        <w:rPr>
          <w:color w:val="231F20"/>
        </w:rPr>
        <w:t> risch,</w:t>
      </w:r>
      <w:r>
        <w:rPr>
          <w:color w:val="231F20"/>
          <w:spacing w:val="6"/>
        </w:rPr>
        <w:t> </w:t>
      </w:r>
      <w:r>
        <w:rPr>
          <w:color w:val="231F20"/>
        </w:rPr>
        <w:t>wie</w:t>
      </w:r>
      <w:r>
        <w:rPr>
          <w:color w:val="231F20"/>
          <w:spacing w:val="6"/>
        </w:rPr>
        <w:t> </w:t>
      </w:r>
      <w:r>
        <w:rPr>
          <w:color w:val="231F20"/>
        </w:rPr>
        <w:t>verdichtetes,</w:t>
      </w:r>
      <w:r>
        <w:rPr>
          <w:color w:val="231F20"/>
          <w:spacing w:val="6"/>
        </w:rPr>
        <w:t> </w:t>
      </w:r>
      <w:r>
        <w:rPr>
          <w:color w:val="231F20"/>
        </w:rPr>
        <w:t>urbanes</w:t>
      </w:r>
      <w:r>
        <w:rPr>
          <w:color w:val="231F20"/>
          <w:spacing w:val="6"/>
        </w:rPr>
        <w:t> </w:t>
      </w:r>
      <w:r>
        <w:rPr>
          <w:color w:val="231F20"/>
        </w:rPr>
        <w:t>Wohnen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</w:rPr>
        <w:t> PlusEnergie-Bauweise</w:t>
      </w:r>
      <w:r>
        <w:rPr>
          <w:color w:val="231F20"/>
          <w:spacing w:val="43"/>
        </w:rPr>
        <w:t> </w:t>
      </w:r>
      <w:r>
        <w:rPr>
          <w:color w:val="231F20"/>
        </w:rPr>
        <w:t>realisierbar</w:t>
      </w:r>
      <w:r>
        <w:rPr>
          <w:color w:val="231F20"/>
          <w:spacing w:val="44"/>
        </w:rPr>
        <w:t> </w:t>
      </w:r>
      <w:r>
        <w:rPr>
          <w:color w:val="231F20"/>
        </w:rPr>
        <w:t>ist.</w:t>
      </w:r>
      <w:r>
        <w:rPr>
          <w:color w:val="231F20"/>
          <w:spacing w:val="43"/>
        </w:rPr>
        <w:t> </w:t>
      </w:r>
      <w:r>
        <w:rPr>
          <w:color w:val="231F20"/>
        </w:rPr>
        <w:t>Die</w:t>
      </w:r>
      <w:r>
        <w:rPr>
          <w:color w:val="231F20"/>
        </w:rPr>
        <w:t> Holzbauweise,</w:t>
      </w:r>
      <w:r>
        <w:rPr>
          <w:color w:val="231F20"/>
          <w:spacing w:val="2"/>
        </w:rPr>
        <w:t> </w:t>
      </w:r>
      <w:r>
        <w:rPr>
          <w:color w:val="231F20"/>
        </w:rPr>
        <w:t>die</w:t>
      </w:r>
      <w:r>
        <w:rPr>
          <w:color w:val="231F20"/>
          <w:spacing w:val="2"/>
        </w:rPr>
        <w:t> </w:t>
      </w:r>
      <w:r>
        <w:rPr>
          <w:color w:val="231F20"/>
        </w:rPr>
        <w:t>nachhaltige</w:t>
      </w:r>
      <w:r>
        <w:rPr>
          <w:color w:val="231F20"/>
          <w:spacing w:val="2"/>
        </w:rPr>
        <w:t> </w:t>
      </w:r>
      <w:r>
        <w:rPr>
          <w:color w:val="231F20"/>
        </w:rPr>
        <w:t>Nutzung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na-</w:t>
      </w:r>
      <w:r>
        <w:rPr>
          <w:color w:val="231F20"/>
          <w:spacing w:val="22"/>
        </w:rPr>
        <w:t> </w:t>
      </w:r>
      <w:r>
        <w:rPr>
          <w:color w:val="231F20"/>
        </w:rPr>
        <w:t>türlicher</w:t>
      </w:r>
      <w:r>
        <w:rPr>
          <w:color w:val="231F20"/>
          <w:spacing w:val="32"/>
        </w:rPr>
        <w:t> </w:t>
      </w:r>
      <w:r>
        <w:rPr>
          <w:color w:val="231F20"/>
        </w:rPr>
        <w:t>Ressourcen</w:t>
      </w:r>
      <w:r>
        <w:rPr>
          <w:color w:val="231F20"/>
          <w:spacing w:val="33"/>
        </w:rPr>
        <w:t> </w:t>
      </w:r>
      <w:r>
        <w:rPr>
          <w:color w:val="231F20"/>
        </w:rPr>
        <w:t>und</w:t>
      </w:r>
      <w:r>
        <w:rPr>
          <w:color w:val="231F20"/>
          <w:spacing w:val="32"/>
        </w:rPr>
        <w:t> </w:t>
      </w:r>
      <w:r>
        <w:rPr>
          <w:color w:val="231F20"/>
        </w:rPr>
        <w:t>lokale</w:t>
      </w:r>
      <w:r>
        <w:rPr>
          <w:color w:val="231F20"/>
          <w:spacing w:val="33"/>
        </w:rPr>
        <w:t> </w:t>
      </w:r>
      <w:r>
        <w:rPr>
          <w:color w:val="231F20"/>
        </w:rPr>
        <w:t>Baustoffe</w:t>
      </w:r>
      <w:r>
        <w:rPr>
          <w:color w:val="231F20"/>
        </w:rPr>
        <w:t> prägen</w:t>
      </w:r>
      <w:r>
        <w:rPr>
          <w:color w:val="231F20"/>
          <w:spacing w:val="33"/>
        </w:rPr>
        <w:t> </w:t>
      </w:r>
      <w:r>
        <w:rPr>
          <w:color w:val="231F20"/>
        </w:rPr>
        <w:t>das</w:t>
      </w:r>
      <w:r>
        <w:rPr>
          <w:color w:val="231F20"/>
          <w:spacing w:val="34"/>
        </w:rPr>
        <w:t> </w:t>
      </w:r>
      <w:r>
        <w:rPr>
          <w:color w:val="231F20"/>
        </w:rPr>
        <w:t>vorbildliche</w:t>
      </w:r>
      <w:r>
        <w:rPr>
          <w:color w:val="231F20"/>
          <w:spacing w:val="33"/>
        </w:rPr>
        <w:t> </w:t>
      </w:r>
      <w:r>
        <w:rPr>
          <w:color w:val="231F20"/>
        </w:rPr>
        <w:t>Energiekonzept,</w:t>
      </w:r>
      <w:r>
        <w:rPr>
          <w:color w:val="231F20"/>
        </w:rPr>
        <w:t> welches</w:t>
      </w:r>
      <w:r>
        <w:rPr>
          <w:color w:val="231F20"/>
          <w:spacing w:val="4"/>
        </w:rPr>
        <w:t> </w:t>
      </w:r>
      <w:r>
        <w:rPr>
          <w:color w:val="231F20"/>
        </w:rPr>
        <w:t>auch</w:t>
      </w:r>
      <w:r>
        <w:rPr>
          <w:color w:val="231F20"/>
          <w:spacing w:val="4"/>
        </w:rPr>
        <w:t> </w:t>
      </w:r>
      <w:r>
        <w:rPr>
          <w:color w:val="231F20"/>
        </w:rPr>
        <w:t>mit</w:t>
      </w:r>
      <w:r>
        <w:rPr>
          <w:color w:val="231F20"/>
          <w:spacing w:val="4"/>
        </w:rPr>
        <w:t> </w:t>
      </w:r>
      <w:r>
        <w:rPr>
          <w:color w:val="231F20"/>
        </w:rPr>
        <w:t>seiner</w:t>
      </w:r>
      <w:r>
        <w:rPr>
          <w:color w:val="231F20"/>
          <w:spacing w:val="4"/>
        </w:rPr>
        <w:t> </w:t>
      </w:r>
      <w:r>
        <w:rPr>
          <w:color w:val="231F20"/>
        </w:rPr>
        <w:t>hohen</w:t>
      </w:r>
      <w:r>
        <w:rPr>
          <w:color w:val="231F20"/>
          <w:spacing w:val="4"/>
        </w:rPr>
        <w:t> </w:t>
      </w:r>
      <w:r>
        <w:rPr>
          <w:color w:val="231F20"/>
        </w:rPr>
        <w:t>Effizienz</w:t>
      </w:r>
      <w:r>
        <w:rPr>
          <w:color w:val="231F20"/>
        </w:rPr>
        <w:t> überzeugt.</w:t>
      </w:r>
      <w:r>
        <w:rPr>
          <w:color w:val="231F20"/>
          <w:spacing w:val="9"/>
        </w:rPr>
        <w:t> </w:t>
      </w:r>
      <w:r>
        <w:rPr>
          <w:color w:val="231F20"/>
        </w:rPr>
        <w:t>Die</w:t>
      </w:r>
      <w:r>
        <w:rPr>
          <w:color w:val="231F20"/>
          <w:spacing w:val="9"/>
        </w:rPr>
        <w:t> </w:t>
      </w:r>
      <w:r>
        <w:rPr>
          <w:color w:val="231F20"/>
        </w:rPr>
        <w:t>Fassaden</w:t>
      </w:r>
      <w:r>
        <w:rPr>
          <w:color w:val="231F20"/>
          <w:spacing w:val="9"/>
        </w:rPr>
        <w:t> </w:t>
      </w:r>
      <w:r>
        <w:rPr>
          <w:color w:val="231F20"/>
        </w:rPr>
        <w:t>und</w:t>
      </w:r>
      <w:r>
        <w:rPr>
          <w:color w:val="231F20"/>
          <w:spacing w:val="9"/>
        </w:rPr>
        <w:t> </w:t>
      </w:r>
      <w:r>
        <w:rPr>
          <w:color w:val="231F20"/>
        </w:rPr>
        <w:t>Balkone</w:t>
      </w:r>
      <w:r>
        <w:rPr>
          <w:color w:val="231F20"/>
          <w:spacing w:val="9"/>
        </w:rPr>
        <w:t> </w:t>
      </w:r>
      <w:r>
        <w:rPr>
          <w:color w:val="231F20"/>
        </w:rPr>
        <w:t>wei-</w:t>
      </w:r>
      <w:r>
        <w:rPr>
          <w:color w:val="231F20"/>
        </w:rPr>
        <w:t> sen</w:t>
      </w:r>
      <w:r>
        <w:rPr>
          <w:color w:val="231F20"/>
          <w:spacing w:val="22"/>
        </w:rPr>
        <w:t> </w:t>
      </w:r>
      <w:r>
        <w:rPr>
          <w:color w:val="231F20"/>
        </w:rPr>
        <w:t>grossflächige,</w:t>
      </w:r>
      <w:r>
        <w:rPr>
          <w:color w:val="231F20"/>
          <w:spacing w:val="22"/>
        </w:rPr>
        <w:t> </w:t>
      </w:r>
      <w:r>
        <w:rPr>
          <w:color w:val="231F20"/>
        </w:rPr>
        <w:t>fassadenbündig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ge-</w:t>
      </w:r>
      <w:r>
        <w:rPr>
          <w:color w:val="231F20"/>
          <w:spacing w:val="22"/>
        </w:rPr>
        <w:t> </w:t>
      </w:r>
      <w:r>
        <w:rPr>
          <w:color w:val="231F20"/>
        </w:rPr>
        <w:t>bäudeintegrierte</w:t>
      </w:r>
      <w:r>
        <w:rPr>
          <w:color w:val="231F20"/>
          <w:spacing w:val="42"/>
        </w:rPr>
        <w:t> </w:t>
      </w:r>
      <w:r>
        <w:rPr>
          <w:color w:val="231F20"/>
        </w:rPr>
        <w:t>PV-Anlagen</w:t>
      </w:r>
      <w:r>
        <w:rPr>
          <w:color w:val="231F20"/>
          <w:spacing w:val="43"/>
        </w:rPr>
        <w:t> </w:t>
      </w:r>
      <w:r>
        <w:rPr>
          <w:color w:val="231F20"/>
        </w:rPr>
        <w:t>auf.</w:t>
      </w:r>
      <w:r>
        <w:rPr>
          <w:color w:val="231F20"/>
          <w:spacing w:val="42"/>
        </w:rPr>
        <w:t> </w:t>
      </w:r>
      <w:r>
        <w:rPr>
          <w:color w:val="231F20"/>
        </w:rPr>
        <w:t>Durch</w:t>
      </w:r>
      <w:r>
        <w:rPr>
          <w:color w:val="231F20"/>
        </w:rPr>
        <w:t> den</w:t>
      </w:r>
      <w:r>
        <w:rPr>
          <w:color w:val="231F20"/>
          <w:spacing w:val="1"/>
        </w:rPr>
        <w:t> </w:t>
      </w:r>
      <w:r>
        <w:rPr>
          <w:color w:val="231F20"/>
        </w:rPr>
        <w:t>Spiegeleffekt</w:t>
      </w:r>
      <w:r>
        <w:rPr>
          <w:color w:val="231F20"/>
          <w:spacing w:val="1"/>
        </w:rPr>
        <w:t> </w:t>
      </w:r>
      <w:r>
        <w:rPr>
          <w:color w:val="231F20"/>
        </w:rPr>
        <w:t>der</w:t>
      </w:r>
      <w:r>
        <w:rPr>
          <w:color w:val="231F20"/>
          <w:spacing w:val="1"/>
        </w:rPr>
        <w:t> </w:t>
      </w:r>
      <w:r>
        <w:rPr>
          <w:color w:val="231F20"/>
        </w:rPr>
        <w:t>Module</w:t>
      </w:r>
      <w:r>
        <w:rPr>
          <w:color w:val="231F20"/>
          <w:spacing w:val="1"/>
        </w:rPr>
        <w:t> </w:t>
      </w:r>
      <w:r>
        <w:rPr>
          <w:color w:val="231F20"/>
        </w:rPr>
        <w:t>wechseln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</w:rPr>
        <w:t> Fassaden</w:t>
      </w:r>
      <w:r>
        <w:rPr>
          <w:color w:val="231F20"/>
          <w:spacing w:val="1"/>
        </w:rPr>
        <w:t> </w:t>
      </w:r>
      <w:r>
        <w:rPr>
          <w:color w:val="231F20"/>
        </w:rPr>
        <w:t>laufend</w:t>
      </w:r>
      <w:r>
        <w:rPr>
          <w:color w:val="231F20"/>
          <w:spacing w:val="1"/>
        </w:rPr>
        <w:t> </w:t>
      </w:r>
      <w:r>
        <w:rPr>
          <w:color w:val="231F20"/>
        </w:rPr>
        <w:t>ihr</w:t>
      </w:r>
      <w:r>
        <w:rPr>
          <w:color w:val="231F20"/>
          <w:spacing w:val="1"/>
        </w:rPr>
        <w:t> </w:t>
      </w:r>
      <w:r>
        <w:rPr>
          <w:color w:val="231F20"/>
        </w:rPr>
        <w:t>Aussehen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</w:rPr>
        <w:t>sorgen</w:t>
      </w:r>
      <w:r>
        <w:rPr>
          <w:color w:val="231F20"/>
        </w:rPr>
        <w:t> für ein «Kunstwerk am Bau».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Die</w:t>
      </w:r>
      <w:r>
        <w:rPr>
          <w:color w:val="231F20"/>
          <w:spacing w:val="-11"/>
        </w:rPr>
        <w:t> </w:t>
      </w:r>
      <w:r>
        <w:rPr>
          <w:color w:val="231F20"/>
        </w:rPr>
        <w:t>auf</w:t>
      </w:r>
      <w:r>
        <w:rPr>
          <w:color w:val="231F20"/>
          <w:spacing w:val="-11"/>
        </w:rPr>
        <w:t> </w:t>
      </w:r>
      <w:r>
        <w:rPr>
          <w:color w:val="231F20"/>
        </w:rPr>
        <w:t>dem</w:t>
      </w:r>
      <w:r>
        <w:rPr>
          <w:color w:val="231F20"/>
          <w:spacing w:val="-10"/>
        </w:rPr>
        <w:t> </w:t>
      </w:r>
      <w:r>
        <w:rPr>
          <w:color w:val="231F20"/>
        </w:rPr>
        <w:t>Flachdach</w:t>
      </w:r>
      <w:r>
        <w:rPr>
          <w:color w:val="231F20"/>
          <w:spacing w:val="-11"/>
        </w:rPr>
        <w:t> </w:t>
      </w:r>
      <w:r>
        <w:rPr>
          <w:color w:val="231F20"/>
        </w:rPr>
        <w:t>installierte,</w:t>
      </w:r>
      <w:r>
        <w:rPr>
          <w:color w:val="231F20"/>
          <w:spacing w:val="-11"/>
        </w:rPr>
        <w:t> </w:t>
      </w:r>
      <w:r>
        <w:rPr>
          <w:color w:val="231F20"/>
        </w:rPr>
        <w:t>20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21"/>
          <w:w w:val="104"/>
          <w:position w:val="6"/>
          <w:sz w:val="10"/>
          <w:szCs w:val="10"/>
        </w:rPr>
        <w:t> </w:t>
      </w:r>
      <w:r>
        <w:rPr>
          <w:color w:val="231F20"/>
        </w:rPr>
        <w:t>grosse</w:t>
      </w:r>
      <w:r>
        <w:rPr>
          <w:color w:val="231F20"/>
          <w:spacing w:val="-14"/>
        </w:rPr>
        <w:t> </w:t>
      </w:r>
      <w:r>
        <w:rPr>
          <w:color w:val="231F20"/>
        </w:rPr>
        <w:t>solarthermische</w:t>
      </w:r>
      <w:r>
        <w:rPr>
          <w:color w:val="231F20"/>
          <w:spacing w:val="-14"/>
        </w:rPr>
        <w:t> </w:t>
      </w:r>
      <w:r>
        <w:rPr>
          <w:color w:val="231F20"/>
        </w:rPr>
        <w:t>Anlage</w:t>
      </w:r>
      <w:r>
        <w:rPr>
          <w:color w:val="231F20"/>
          <w:spacing w:val="-14"/>
        </w:rPr>
        <w:t> </w:t>
      </w:r>
      <w:r>
        <w:rPr>
          <w:color w:val="231F20"/>
        </w:rPr>
        <w:t>erzeugt</w:t>
      </w:r>
      <w:r>
        <w:rPr>
          <w:color w:val="231F20"/>
          <w:spacing w:val="-14"/>
        </w:rPr>
        <w:t> </w:t>
      </w:r>
      <w:r>
        <w:rPr>
          <w:color w:val="231F20"/>
        </w:rPr>
        <w:t>rund</w:t>
      </w:r>
      <w:r>
        <w:rPr>
          <w:color w:val="231F20"/>
        </w:rPr>
        <w:t> 10’800</w:t>
      </w:r>
      <w:r>
        <w:rPr>
          <w:color w:val="231F20"/>
          <w:spacing w:val="-2"/>
        </w:rPr>
        <w:t> </w:t>
      </w:r>
      <w:r>
        <w:rPr>
          <w:color w:val="231F20"/>
        </w:rPr>
        <w:t>kWh/a</w:t>
      </w:r>
      <w:r>
        <w:rPr>
          <w:color w:val="231F20"/>
          <w:spacing w:val="-2"/>
        </w:rPr>
        <w:t> </w:t>
      </w:r>
      <w:r>
        <w:rPr>
          <w:color w:val="231F20"/>
        </w:rPr>
        <w:t>Wärme</w:t>
      </w:r>
      <w:r>
        <w:rPr>
          <w:color w:val="231F20"/>
          <w:spacing w:val="-2"/>
        </w:rPr>
        <w:t> </w:t>
      </w:r>
      <w:r>
        <w:rPr>
          <w:color w:val="231F20"/>
        </w:rPr>
        <w:t>für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Warmwasser</w:t>
      </w:r>
      <w:r>
        <w:rPr>
          <w:color w:val="231F20"/>
        </w:rPr>
        <w:t> und</w:t>
      </w:r>
      <w:r>
        <w:rPr>
          <w:color w:val="231F20"/>
          <w:spacing w:val="45"/>
        </w:rPr>
        <w:t> </w:t>
      </w:r>
      <w:r>
        <w:rPr>
          <w:color w:val="231F20"/>
        </w:rPr>
        <w:t>die</w:t>
      </w:r>
      <w:r>
        <w:rPr>
          <w:color w:val="231F20"/>
          <w:spacing w:val="46"/>
        </w:rPr>
        <w:t> </w:t>
      </w:r>
      <w:r>
        <w:rPr>
          <w:color w:val="231F20"/>
        </w:rPr>
        <w:t>Heizung.</w:t>
      </w:r>
      <w:r>
        <w:rPr>
          <w:color w:val="231F20"/>
          <w:spacing w:val="45"/>
        </w:rPr>
        <w:t> </w:t>
      </w:r>
      <w:r>
        <w:rPr>
          <w:color w:val="231F20"/>
        </w:rPr>
        <w:t>Wenn</w:t>
      </w:r>
      <w:r>
        <w:rPr>
          <w:color w:val="231F20"/>
          <w:spacing w:val="46"/>
        </w:rPr>
        <w:t> </w:t>
      </w:r>
      <w:r>
        <w:rPr>
          <w:color w:val="231F20"/>
        </w:rPr>
        <w:t>die</w:t>
      </w:r>
      <w:r>
        <w:rPr>
          <w:color w:val="231F20"/>
          <w:spacing w:val="46"/>
        </w:rPr>
        <w:t> </w:t>
      </w:r>
      <w:r>
        <w:rPr>
          <w:color w:val="231F20"/>
        </w:rPr>
        <w:t>Solarthermie</w:t>
      </w:r>
      <w:r>
        <w:rPr>
          <w:color w:val="231F20"/>
        </w:rPr>
        <w:t> nicht</w:t>
      </w:r>
      <w:r>
        <w:rPr>
          <w:color w:val="231F20"/>
          <w:spacing w:val="15"/>
        </w:rPr>
        <w:t> </w:t>
      </w:r>
      <w:r>
        <w:rPr>
          <w:color w:val="231F20"/>
        </w:rPr>
        <w:t>genügt,</w:t>
      </w:r>
      <w:r>
        <w:rPr>
          <w:color w:val="231F20"/>
          <w:spacing w:val="15"/>
        </w:rPr>
        <w:t> </w:t>
      </w:r>
      <w:r>
        <w:rPr>
          <w:color w:val="231F20"/>
        </w:rPr>
        <w:t>erhöht</w:t>
      </w:r>
      <w:r>
        <w:rPr>
          <w:color w:val="231F20"/>
          <w:spacing w:val="15"/>
        </w:rPr>
        <w:t> </w:t>
      </w:r>
      <w:r>
        <w:rPr>
          <w:color w:val="231F20"/>
        </w:rPr>
        <w:t>die</w:t>
      </w:r>
      <w:r>
        <w:rPr>
          <w:color w:val="231F20"/>
          <w:spacing w:val="15"/>
        </w:rPr>
        <w:t> </w:t>
      </w:r>
      <w:r>
        <w:rPr>
          <w:color w:val="231F20"/>
        </w:rPr>
        <w:t>Wärmepumpe</w:t>
      </w:r>
      <w:r>
        <w:rPr>
          <w:color w:val="231F20"/>
          <w:spacing w:val="15"/>
        </w:rPr>
        <w:t> </w:t>
      </w:r>
      <w:r>
        <w:rPr>
          <w:color w:val="231F20"/>
        </w:rPr>
        <w:t>die</w:t>
      </w:r>
      <w:r>
        <w:rPr>
          <w:color w:val="231F20"/>
        </w:rPr>
        <w:t> Temperatur</w:t>
      </w:r>
      <w:r>
        <w:rPr>
          <w:color w:val="231F20"/>
          <w:spacing w:val="21"/>
        </w:rPr>
        <w:t> </w:t>
      </w:r>
      <w:r>
        <w:rPr>
          <w:color w:val="231F20"/>
        </w:rPr>
        <w:t>für</w:t>
      </w:r>
      <w:r>
        <w:rPr>
          <w:color w:val="231F20"/>
          <w:spacing w:val="21"/>
        </w:rPr>
        <w:t> </w:t>
      </w:r>
      <w:r>
        <w:rPr>
          <w:color w:val="231F20"/>
        </w:rPr>
        <w:t>das</w:t>
      </w:r>
      <w:r>
        <w:rPr>
          <w:color w:val="231F20"/>
          <w:spacing w:val="21"/>
        </w:rPr>
        <w:t> </w:t>
      </w:r>
      <w:r>
        <w:rPr>
          <w:color w:val="231F20"/>
        </w:rPr>
        <w:t>Brauchwasser</w:t>
      </w:r>
      <w:r>
        <w:rPr>
          <w:color w:val="231F20"/>
          <w:spacing w:val="21"/>
        </w:rPr>
        <w:t> </w:t>
      </w:r>
      <w:r>
        <w:rPr>
          <w:color w:val="231F20"/>
        </w:rPr>
        <w:t>und</w:t>
      </w:r>
      <w:r>
        <w:rPr>
          <w:color w:val="231F20"/>
          <w:spacing w:val="21"/>
        </w:rPr>
        <w:t> </w:t>
      </w:r>
      <w:r>
        <w:rPr>
          <w:color w:val="231F20"/>
        </w:rPr>
        <w:t>die</w:t>
      </w:r>
      <w:r>
        <w:rPr/>
      </w:r>
    </w:p>
    <w:p>
      <w:pPr>
        <w:pStyle w:val="BodyText"/>
        <w:spacing w:line="230" w:lineRule="exact" w:before="52"/>
        <w:ind w:right="0"/>
        <w:jc w:val="left"/>
      </w:pPr>
      <w:r>
        <w:rPr/>
        <w:br w:type="column"/>
      </w:r>
      <w:r>
        <w:rPr>
          <w:color w:val="231F20"/>
        </w:rPr>
        <w:t>Heizung. </w:t>
      </w:r>
      <w:r>
        <w:rPr>
          <w:color w:val="231F20"/>
          <w:spacing w:val="7"/>
        </w:rPr>
        <w:t> </w:t>
      </w:r>
      <w:r>
        <w:rPr>
          <w:color w:val="231F20"/>
        </w:rPr>
        <w:t>Überschüssiger </w:t>
      </w:r>
      <w:r>
        <w:rPr>
          <w:color w:val="231F20"/>
          <w:spacing w:val="18"/>
        </w:rPr>
        <w:t> </w:t>
      </w:r>
      <w:r>
        <w:rPr>
          <w:color w:val="231F20"/>
        </w:rPr>
        <w:t>Strom </w:t>
      </w:r>
      <w:r>
        <w:rPr>
          <w:color w:val="231F20"/>
          <w:spacing w:val="18"/>
        </w:rPr>
        <w:t> </w:t>
      </w:r>
      <w:r>
        <w:rPr>
          <w:color w:val="231F20"/>
        </w:rPr>
        <w:t>wird </w:t>
      </w:r>
      <w:r>
        <w:rPr>
          <w:color w:val="231F20"/>
          <w:spacing w:val="18"/>
        </w:rPr>
        <w:t> </w:t>
      </w:r>
      <w:r>
        <w:rPr>
          <w:color w:val="231F20"/>
        </w:rPr>
        <w:t>ins</w:t>
      </w:r>
      <w:r>
        <w:rPr>
          <w:color w:val="231F20"/>
        </w:rPr>
        <w:t> Netz eingespeist.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Insgesamt</w:t>
      </w:r>
      <w:r>
        <w:rPr>
          <w:color w:val="231F20"/>
          <w:spacing w:val="25"/>
        </w:rPr>
        <w:t> </w:t>
      </w:r>
      <w:r>
        <w:rPr>
          <w:color w:val="231F20"/>
        </w:rPr>
        <w:t>erzeugen</w:t>
      </w:r>
      <w:r>
        <w:rPr>
          <w:color w:val="231F20"/>
          <w:spacing w:val="26"/>
        </w:rPr>
        <w:t> </w:t>
      </w:r>
      <w:r>
        <w:rPr>
          <w:color w:val="231F20"/>
        </w:rPr>
        <w:t>die</w:t>
      </w:r>
      <w:r>
        <w:rPr>
          <w:color w:val="231F20"/>
          <w:spacing w:val="25"/>
        </w:rPr>
        <w:t> </w:t>
      </w:r>
      <w:r>
        <w:rPr>
          <w:color w:val="231F20"/>
        </w:rPr>
        <w:t>Solaranlagen</w:t>
      </w:r>
      <w:r>
        <w:rPr>
          <w:color w:val="231F20"/>
        </w:rPr>
        <w:t> 80’800</w:t>
      </w:r>
      <w:r>
        <w:rPr>
          <w:color w:val="231F20"/>
          <w:spacing w:val="10"/>
        </w:rPr>
        <w:t> </w:t>
      </w:r>
      <w:r>
        <w:rPr>
          <w:color w:val="231F20"/>
        </w:rPr>
        <w:t>kWh/a</w:t>
      </w:r>
      <w:r>
        <w:rPr>
          <w:color w:val="231F20"/>
          <w:spacing w:val="10"/>
        </w:rPr>
        <w:t> </w:t>
      </w:r>
      <w:r>
        <w:rPr>
          <w:color w:val="231F20"/>
        </w:rPr>
        <w:t>und</w:t>
      </w:r>
      <w:r>
        <w:rPr>
          <w:color w:val="231F20"/>
          <w:spacing w:val="10"/>
        </w:rPr>
        <w:t> </w:t>
      </w:r>
      <w:r>
        <w:rPr>
          <w:color w:val="231F20"/>
        </w:rPr>
        <w:t>decken</w:t>
      </w:r>
      <w:r>
        <w:rPr>
          <w:color w:val="231F20"/>
          <w:spacing w:val="10"/>
        </w:rPr>
        <w:t> </w:t>
      </w:r>
      <w:r>
        <w:rPr>
          <w:color w:val="231F20"/>
        </w:rPr>
        <w:t>136%</w:t>
      </w:r>
      <w:r>
        <w:rPr>
          <w:color w:val="231F20"/>
          <w:spacing w:val="10"/>
        </w:rPr>
        <w:t> </w:t>
      </w:r>
      <w:r>
        <w:rPr>
          <w:color w:val="231F20"/>
        </w:rPr>
        <w:t>des</w:t>
      </w:r>
      <w:r>
        <w:rPr>
          <w:color w:val="231F20"/>
          <w:spacing w:val="10"/>
        </w:rPr>
        <w:t> </w:t>
      </w:r>
      <w:r>
        <w:rPr>
          <w:color w:val="231F20"/>
        </w:rPr>
        <w:t>Ge-</w:t>
      </w:r>
      <w:r>
        <w:rPr>
          <w:color w:val="231F20"/>
        </w:rPr>
        <w:t> samtenergiebedarfs</w:t>
      </w:r>
      <w:r>
        <w:rPr>
          <w:color w:val="231F20"/>
          <w:spacing w:val="-8"/>
        </w:rPr>
        <w:t> </w:t>
      </w:r>
      <w:r>
        <w:rPr>
          <w:color w:val="231F20"/>
        </w:rPr>
        <w:t>von</w:t>
      </w:r>
      <w:r>
        <w:rPr>
          <w:color w:val="231F20"/>
          <w:spacing w:val="-8"/>
        </w:rPr>
        <w:t> </w:t>
      </w:r>
      <w:r>
        <w:rPr>
          <w:color w:val="231F20"/>
        </w:rPr>
        <w:t>59’200</w:t>
      </w:r>
      <w:r>
        <w:rPr>
          <w:color w:val="231F20"/>
          <w:spacing w:val="-8"/>
        </w:rPr>
        <w:t> </w:t>
      </w:r>
      <w:r>
        <w:rPr>
          <w:color w:val="231F20"/>
        </w:rPr>
        <w:t>kWh/a.</w:t>
      </w:r>
      <w:r>
        <w:rPr>
          <w:color w:val="231F20"/>
          <w:spacing w:val="-8"/>
        </w:rPr>
        <w:t> </w:t>
      </w:r>
      <w:r>
        <w:rPr>
          <w:color w:val="231F20"/>
        </w:rPr>
        <w:t>Mit</w:t>
      </w:r>
      <w:r>
        <w:rPr>
          <w:color w:val="231F20"/>
        </w:rPr>
        <w:t> dem</w:t>
      </w:r>
      <w:r>
        <w:rPr>
          <w:color w:val="231F20"/>
          <w:spacing w:val="5"/>
        </w:rPr>
        <w:t> </w:t>
      </w:r>
      <w:r>
        <w:rPr>
          <w:color w:val="231F20"/>
        </w:rPr>
        <w:t>Solarstromüberschuss</w:t>
      </w:r>
      <w:r>
        <w:rPr>
          <w:color w:val="231F20"/>
          <w:spacing w:val="4"/>
        </w:rPr>
        <w:t> </w:t>
      </w:r>
      <w:r>
        <w:rPr>
          <w:color w:val="231F20"/>
        </w:rPr>
        <w:t>könnten</w:t>
      </w:r>
      <w:r>
        <w:rPr>
          <w:color w:val="231F20"/>
          <w:spacing w:val="5"/>
        </w:rPr>
        <w:t> </w:t>
      </w:r>
      <w:r>
        <w:rPr>
          <w:color w:val="231F20"/>
        </w:rPr>
        <w:t>15</w:t>
      </w:r>
      <w:r>
        <w:rPr>
          <w:color w:val="231F20"/>
        </w:rPr>
        <w:t> Elektroautos</w:t>
      </w:r>
      <w:r>
        <w:rPr>
          <w:color w:val="231F20"/>
          <w:spacing w:val="21"/>
        </w:rPr>
        <w:t> </w:t>
      </w:r>
      <w:r>
        <w:rPr>
          <w:color w:val="231F20"/>
        </w:rPr>
        <w:t>jährlich</w:t>
      </w:r>
      <w:r>
        <w:rPr>
          <w:color w:val="231F20"/>
          <w:spacing w:val="21"/>
        </w:rPr>
        <w:t> </w:t>
      </w:r>
      <w:r>
        <w:rPr>
          <w:color w:val="231F20"/>
        </w:rPr>
        <w:t>12’000</w:t>
      </w:r>
      <w:r>
        <w:rPr>
          <w:color w:val="231F20"/>
          <w:spacing w:val="21"/>
        </w:rPr>
        <w:t> </w:t>
      </w:r>
      <w:r>
        <w:rPr>
          <w:color w:val="231F20"/>
        </w:rPr>
        <w:t>km</w:t>
      </w:r>
      <w:r>
        <w:rPr>
          <w:color w:val="231F20"/>
          <w:spacing w:val="21"/>
        </w:rPr>
        <w:t> </w:t>
      </w:r>
      <w:r>
        <w:rPr>
          <w:color w:val="231F20"/>
        </w:rPr>
        <w:t>fahren.</w:t>
      </w:r>
      <w:r>
        <w:rPr>
          <w:color w:val="231F20"/>
        </w:rPr>
        <w:t> René</w:t>
      </w:r>
      <w:r>
        <w:rPr>
          <w:color w:val="231F20"/>
          <w:spacing w:val="-13"/>
        </w:rPr>
        <w:t> </w:t>
      </w:r>
      <w:r>
        <w:rPr>
          <w:color w:val="231F20"/>
        </w:rPr>
        <w:t>Städlers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12-Familienhaus</w:t>
      </w:r>
      <w:r>
        <w:rPr>
          <w:color w:val="231F20"/>
          <w:spacing w:val="-13"/>
        </w:rPr>
        <w:t> </w:t>
      </w:r>
      <w:r>
        <w:rPr>
          <w:color w:val="231F20"/>
        </w:rPr>
        <w:t>ist</w:t>
      </w:r>
      <w:r>
        <w:rPr>
          <w:color w:val="231F20"/>
          <w:spacing w:val="-13"/>
        </w:rPr>
        <w:t> </w:t>
      </w:r>
      <w:r>
        <w:rPr>
          <w:color w:val="231F20"/>
        </w:rPr>
        <w:t>eines</w:t>
      </w:r>
      <w:r>
        <w:rPr>
          <w:color w:val="231F20"/>
          <w:spacing w:val="-13"/>
        </w:rPr>
        <w:t> </w:t>
      </w:r>
      <w:r>
        <w:rPr>
          <w:color w:val="231F20"/>
        </w:rPr>
        <w:t>der</w:t>
      </w:r>
      <w:r>
        <w:rPr>
          <w:color w:val="231F20"/>
          <w:spacing w:val="26"/>
        </w:rPr>
        <w:t> </w:t>
      </w:r>
      <w:r>
        <w:rPr>
          <w:color w:val="231F20"/>
        </w:rPr>
        <w:t>leistungsfähigsten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PEB-MFH</w:t>
      </w:r>
      <w:r>
        <w:rPr>
          <w:color w:val="231F20"/>
          <w:spacing w:val="10"/>
        </w:rPr>
        <w:t> </w:t>
      </w:r>
      <w:r>
        <w:rPr>
          <w:color w:val="231F20"/>
        </w:rPr>
        <w:t>der</w:t>
      </w:r>
      <w:r>
        <w:rPr>
          <w:color w:val="231F20"/>
          <w:spacing w:val="10"/>
        </w:rPr>
        <w:t> </w:t>
      </w:r>
      <w:r>
        <w:rPr>
          <w:color w:val="231F20"/>
        </w:rPr>
        <w:t>Ost-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schweiz</w:t>
      </w:r>
      <w:r>
        <w:rPr>
          <w:color w:val="231F20"/>
          <w:spacing w:val="-13"/>
        </w:rPr>
        <w:t> </w:t>
      </w:r>
      <w:r>
        <w:rPr>
          <w:color w:val="231F20"/>
        </w:rPr>
        <w:t>2015.</w:t>
      </w:r>
      <w:r>
        <w:rPr>
          <w:color w:val="231F20"/>
          <w:spacing w:val="-24"/>
        </w:rPr>
        <w:t> </w:t>
      </w:r>
      <w:r>
        <w:rPr>
          <w:color w:val="231F20"/>
        </w:rPr>
        <w:t>Dafür</w:t>
      </w:r>
      <w:r>
        <w:rPr>
          <w:color w:val="231F20"/>
          <w:spacing w:val="-13"/>
        </w:rPr>
        <w:t> </w:t>
      </w:r>
      <w:r>
        <w:rPr>
          <w:color w:val="231F20"/>
        </w:rPr>
        <w:t>erhält</w:t>
      </w:r>
      <w:r>
        <w:rPr>
          <w:color w:val="231F20"/>
          <w:spacing w:val="-13"/>
        </w:rPr>
        <w:t> </w:t>
      </w:r>
      <w:r>
        <w:rPr>
          <w:color w:val="231F20"/>
        </w:rPr>
        <w:t>es</w:t>
      </w:r>
      <w:r>
        <w:rPr>
          <w:color w:val="231F20"/>
          <w:spacing w:val="-13"/>
        </w:rPr>
        <w:t> </w:t>
      </w:r>
      <w:r>
        <w:rPr>
          <w:color w:val="231F20"/>
        </w:rPr>
        <w:t>das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PlusEner-</w:t>
      </w:r>
      <w:r>
        <w:rPr>
          <w:color w:val="231F20"/>
          <w:spacing w:val="20"/>
        </w:rPr>
        <w:t> </w:t>
      </w:r>
      <w:r>
        <w:rPr>
          <w:color w:val="231F20"/>
        </w:rPr>
        <w:t>gieBau-Diplom 2015.</w:t>
      </w:r>
      <w:r>
        <w:rPr/>
      </w:r>
    </w:p>
    <w:p>
      <w:pPr>
        <w:spacing w:before="73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2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4"/>
          <w:sz w:val="14"/>
        </w:rPr>
        <w:t>16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0.15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321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  <w:tab/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0.16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01" w:val="left" w:leader="none"/>
        </w:tabs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</w:r>
      <w:r>
        <w:rPr>
          <w:rFonts w:ascii="Theinhardt Regular"/>
          <w:color w:val="231F20"/>
          <w:sz w:val="14"/>
        </w:rPr>
        <w:t>8.8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33"/>
          <w:sz w:val="14"/>
        </w:rPr>
        <w:t> </w:t>
      </w:r>
      <w:r>
        <w:rPr>
          <w:rFonts w:ascii="Theinhardt Regular"/>
          <w:color w:val="231F20"/>
          <w:sz w:val="14"/>
        </w:rPr>
        <w:t>0.26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  <w:t>dreifach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z w:val="14"/>
        </w:rPr>
        <w:t>0.90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4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699" w:val="left" w:leader="none"/>
          <w:tab w:pos="2062" w:val="left" w:leader="none"/>
          <w:tab w:pos="2478" w:val="left" w:leader="none"/>
          <w:tab w:pos="2824" w:val="left" w:leader="none"/>
        </w:tabs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1’592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Heizung:</w:t>
        <w:tab/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6.3   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10’774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62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6.8   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17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9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WP/Lüftung: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11.3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30   </w:t>
      </w:r>
      <w:r>
        <w:rPr>
          <w:rFonts w:ascii="Theinhardt Regular" w:hAnsi="Theinhardt Regular" w:cs="Theinhardt Regular" w:eastAsia="Theinhardt Regular"/>
          <w:color w:val="231F20"/>
          <w:spacing w:val="1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18’000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87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12.8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35   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20’400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80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37.2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4"/>
          <w:szCs w:val="14"/>
        </w:rPr>
        <w:t>59’174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877" w:val="left" w:leader="none"/>
          <w:tab w:pos="1418" w:val="left" w:leader="none"/>
          <w:tab w:pos="2025" w:val="left" w:leader="none"/>
          <w:tab w:pos="2478" w:val="left" w:leader="none"/>
          <w:tab w:pos="2824" w:val="left" w:leader="none"/>
        </w:tabs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color w:val="231F20"/>
          <w:spacing w:val="17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 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288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44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136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66   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39’130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878" w:val="left" w:leader="none"/>
          <w:tab w:pos="2099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Fass: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452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42.7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54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41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24’344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959" w:val="left" w:leader="none"/>
          <w:tab w:pos="1504" w:val="left" w:leader="none"/>
          <w:tab w:pos="2032" w:val="left" w:leader="none"/>
          <w:tab w:pos="2858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Carp.:</w:t>
        <w:tab/>
        <w:t>45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7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147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3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11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6’593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539" w:val="left" w:leader="none"/>
          <w:tab w:pos="202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SK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19.9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-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541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10’774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60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136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80’841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78" w:val="left" w:leader="none"/>
          <w:tab w:pos="2824" w:val="left" w:leader="none"/>
        </w:tabs>
        <w:spacing w:line="172" w:lineRule="exact" w:before="35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360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136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80’841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59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4"/>
          <w:szCs w:val="14"/>
        </w:rPr>
        <w:t>59’174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39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36   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21’667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Gemeindeverwaltung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Rebstein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am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19.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z w:val="14"/>
        </w:rPr>
        <w:t>Mai</w:t>
      </w:r>
      <w:r>
        <w:rPr>
          <w:rFonts w:ascii="Theinhardt Regular"/>
          <w:color w:val="231F20"/>
          <w:spacing w:val="-3"/>
          <w:sz w:val="14"/>
        </w:rPr>
        <w:t> 2015, </w:t>
      </w:r>
      <w:r>
        <w:rPr>
          <w:rFonts w:ascii="Theinhardt Regular"/>
          <w:color w:val="231F20"/>
          <w:spacing w:val="1"/>
          <w:sz w:val="14"/>
        </w:rPr>
        <w:t>R.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z w:val="14"/>
        </w:rPr>
        <w:t>Engetschwiler,</w:t>
      </w:r>
      <w:r>
        <w:rPr>
          <w:rFonts w:ascii="Theinhardt Regular"/>
          <w:color w:val="231F20"/>
          <w:spacing w:val="-3"/>
          <w:sz w:val="14"/>
        </w:rPr>
        <w:t> Tel. 071 </w:t>
      </w:r>
      <w:r>
        <w:rPr>
          <w:rFonts w:ascii="Theinhardt Regular"/>
          <w:color w:val="231F20"/>
          <w:spacing w:val="-2"/>
          <w:sz w:val="14"/>
        </w:rPr>
        <w:t>775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82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16</w:t>
      </w:r>
      <w:r>
        <w:rPr>
          <w:rFonts w:asci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Gebäudes: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Schachenweg</w:t>
      </w:r>
      <w:r>
        <w:rPr>
          <w:rFonts w:ascii="Theinhardt Regular"/>
          <w:color w:val="231F20"/>
          <w:sz w:val="14"/>
        </w:rPr>
        <w:t> 6, </w:t>
      </w:r>
      <w:r>
        <w:rPr>
          <w:rFonts w:ascii="Theinhardt Regular"/>
          <w:color w:val="231F20"/>
          <w:spacing w:val="1"/>
          <w:sz w:val="14"/>
        </w:rPr>
        <w:t>5445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Rebstein/SG</w:t>
      </w:r>
      <w:r>
        <w:rPr>
          <w:rFonts w:ascii="Theinhardt Regular"/>
          <w:sz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B</w:t>
      </w:r>
      <w:r>
        <w:rPr>
          <w:rFonts w:ascii="Theinhardt Bold"/>
          <w:b/>
          <w:color w:val="231F20"/>
          <w:spacing w:val="1"/>
          <w:sz w:val="14"/>
        </w:rPr>
        <w:t>au</w:t>
      </w:r>
      <w:r>
        <w:rPr>
          <w:rFonts w:ascii="Theinhardt Bold"/>
          <w:b/>
          <w:color w:val="231F20"/>
          <w:spacing w:val="2"/>
          <w:sz w:val="14"/>
        </w:rPr>
        <w:t>he</w:t>
      </w:r>
      <w:r>
        <w:rPr>
          <w:rFonts w:ascii="Theinhardt Bold"/>
          <w:b/>
          <w:color w:val="231F20"/>
          <w:spacing w:val="1"/>
          <w:sz w:val="14"/>
        </w:rPr>
        <w:t>r</w:t>
      </w:r>
      <w:r>
        <w:rPr>
          <w:rFonts w:ascii="Theinhardt Bold"/>
          <w:b/>
          <w:color w:val="231F20"/>
          <w:spacing w:val="2"/>
          <w:sz w:val="14"/>
        </w:rPr>
        <w:t>rs</w:t>
      </w:r>
      <w:r>
        <w:rPr>
          <w:rFonts w:ascii="Theinhardt Bold"/>
          <w:b/>
          <w:color w:val="231F20"/>
          <w:spacing w:val="3"/>
          <w:sz w:val="14"/>
        </w:rPr>
        <w:t>c</w:t>
      </w:r>
      <w:r>
        <w:rPr>
          <w:rFonts w:ascii="Theinhardt Bold"/>
          <w:b/>
          <w:color w:val="231F20"/>
          <w:spacing w:val="2"/>
          <w:sz w:val="14"/>
        </w:rPr>
        <w:t>h</w:t>
      </w:r>
      <w:r>
        <w:rPr>
          <w:rFonts w:ascii="Theinhardt Bold"/>
          <w:b/>
          <w:color w:val="231F20"/>
          <w:spacing w:val="1"/>
          <w:sz w:val="14"/>
        </w:rPr>
        <w:t>a</w:t>
      </w:r>
      <w:r>
        <w:rPr>
          <w:rFonts w:ascii="Theinhardt Bold"/>
          <w:b/>
          <w:color w:val="231F20"/>
          <w:spacing w:val="5"/>
          <w:sz w:val="14"/>
        </w:rPr>
        <w:t>f</w:t>
      </w:r>
      <w:r>
        <w:rPr>
          <w:rFonts w:ascii="Theinhardt Bold"/>
          <w:b/>
          <w:color w:val="231F20"/>
          <w:spacing w:val="3"/>
          <w:sz w:val="14"/>
        </w:rPr>
        <w:t>t</w:t>
      </w:r>
      <w:r>
        <w:rPr>
          <w:rFonts w:ascii="Theinhardt Bold"/>
          <w:b/>
          <w:color w:val="231F20"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Neuhof</w:t>
      </w:r>
      <w:r>
        <w:rPr>
          <w:rFonts w:ascii="Theinhardt Regular" w:hAnsi="Theinhardt Regular"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pacing w:val="3"/>
          <w:sz w:val="14"/>
        </w:rPr>
        <w:t>Altstätten,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Churerst.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39,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9450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Altstätten</w:t>
      </w:r>
      <w:hyperlink r:id="rId5">
        <w:r>
          <w:rPr>
            <w:rFonts w:ascii="Theinhardt Regular" w:hAnsi="Theinhardt Regular"/>
            <w:color w:val="231F20"/>
            <w:spacing w:val="28"/>
            <w:sz w:val="14"/>
          </w:rPr>
          <w:t> </w:t>
        </w:r>
        <w:r>
          <w:rPr>
            <w:rFonts w:ascii="Theinhardt Regular" w:hAnsi="Theinhardt Regular"/>
            <w:color w:val="231F20"/>
            <w:spacing w:val="1"/>
            <w:sz w:val="14"/>
          </w:rPr>
          <w:t>r.staedler@bluewin.ch,</w:t>
        </w:r>
      </w:hyperlink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078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672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01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4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Architekturbüro,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Berner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Martin,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Flurstr.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24,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9450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3"/>
          <w:sz w:val="14"/>
        </w:rPr>
        <w:t>Altstätten</w:t>
      </w:r>
      <w:hyperlink r:id="rId6">
        <w:r>
          <w:rPr>
            <w:rFonts w:ascii="Theinhardt Regular" w:hAnsi="Theinhardt Regular"/>
            <w:color w:val="231F20"/>
            <w:spacing w:val="3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> </w:t>
        </w:r>
        <w:r>
          <w:rPr>
            <w:rFonts w:ascii="Theinhardt Regular" w:hAnsi="Theinhardt Regular"/>
            <w:color w:val="231F20"/>
            <w:spacing w:val="1"/>
            <w:sz w:val="14"/>
          </w:rPr>
          <w:t>mb.bau@bluewin.ch,</w:t>
        </w:r>
      </w:hyperlink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071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755</w:t>
      </w:r>
      <w:r>
        <w:rPr>
          <w:rFonts w:ascii="Theinhardt Regular" w:hAnsi="Theinhardt Regular"/>
          <w:color w:val="231F20"/>
          <w:sz w:val="14"/>
        </w:rPr>
        <w:t> 38 </w:t>
      </w:r>
      <w:r>
        <w:rPr>
          <w:rFonts w:ascii="Theinhardt Regular" w:hAnsi="Theinhardt Regular"/>
          <w:color w:val="231F20"/>
          <w:spacing w:val="-2"/>
          <w:sz w:val="14"/>
        </w:rPr>
        <w:t>42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PV-Anlagen: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Die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Solartechniker,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Beratung</w:t>
      </w:r>
      <w:r>
        <w:rPr>
          <w:rFonts w:ascii="Theinhardt Regular" w:hAnsi="Theinhardt Regular"/>
          <w:color w:val="231F20"/>
          <w:sz w:val="14"/>
        </w:rPr>
        <w:t> / </w:t>
      </w:r>
      <w:r>
        <w:rPr>
          <w:rFonts w:ascii="Theinhardt Regular" w:hAnsi="Theinhardt Regular"/>
          <w:color w:val="231F20"/>
          <w:spacing w:val="1"/>
          <w:sz w:val="14"/>
        </w:rPr>
        <w:t>Planung</w:t>
      </w:r>
      <w:r>
        <w:rPr>
          <w:rFonts w:ascii="Theinhardt Regular" w:hAnsi="Theinhardt Regular"/>
          <w:color w:val="231F20"/>
          <w:sz w:val="14"/>
        </w:rPr>
        <w:t> / </w:t>
      </w:r>
      <w:r>
        <w:rPr>
          <w:rFonts w:ascii="Theinhardt Regular" w:hAnsi="Theinhardt Regular"/>
          <w:color w:val="231F20"/>
          <w:spacing w:val="2"/>
          <w:sz w:val="14"/>
        </w:rPr>
        <w:t>Montage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Tiefenackerstrasse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59,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9450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Altstätten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5">
        <w:r>
          <w:rPr>
            <w:rFonts w:ascii="Theinhardt Regular"/>
            <w:color w:val="231F20"/>
            <w:spacing w:val="1"/>
            <w:sz w:val="14"/>
          </w:rPr>
          <w:t>r.staedler@bluewin.ch,</w:t>
        </w:r>
      </w:hyperlink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078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672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01</w:t>
      </w:r>
      <w:r>
        <w:rPr>
          <w:rFonts w:ascii="Theinhardt Regular"/>
          <w:sz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Weitere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Beteiligte: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denkfabrik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establishment,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9486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Schaanwald</w:t>
      </w:r>
      <w:r>
        <w:rPr>
          <w:rFonts w:ascii="Theinhardt Regular"/>
          <w:sz w:val="14"/>
        </w:rPr>
      </w:r>
    </w:p>
    <w:p>
      <w:pPr>
        <w:spacing w:line="160" w:lineRule="exact" w:before="43"/>
        <w:ind w:left="106" w:right="71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Dei</w:t>
      </w:r>
      <w:r>
        <w:rPr>
          <w:rFonts w:ascii="Theinhardt Regular"/>
          <w:color w:val="231F20"/>
          <w:spacing w:val="4"/>
          <w:sz w:val="14"/>
        </w:rPr>
        <w:t>s</w:t>
      </w:r>
      <w:r>
        <w:rPr>
          <w:rFonts w:ascii="Theinhardt Regular"/>
          <w:color w:val="231F20"/>
          <w:sz w:val="14"/>
        </w:rPr>
        <w:t>s </w:t>
      </w:r>
      <w:r>
        <w:rPr>
          <w:rFonts w:ascii="Theinhardt Regular"/>
          <w:color w:val="231F20"/>
          <w:spacing w:val="1"/>
          <w:sz w:val="14"/>
        </w:rPr>
        <w:t>u</w:t>
      </w:r>
      <w:r>
        <w:rPr>
          <w:rFonts w:ascii="Theinhardt Regular"/>
          <w:color w:val="231F20"/>
          <w:spacing w:val="2"/>
          <w:sz w:val="14"/>
        </w:rPr>
        <w:t>n</w:t>
      </w:r>
      <w:r>
        <w:rPr>
          <w:rFonts w:ascii="Theinhardt Regular"/>
          <w:color w:val="231F20"/>
          <w:sz w:val="14"/>
        </w:rPr>
        <w:t>d </w:t>
      </w:r>
      <w:r>
        <w:rPr>
          <w:rFonts w:ascii="Theinhardt Regular"/>
          <w:color w:val="231F20"/>
          <w:spacing w:val="-1"/>
          <w:sz w:val="14"/>
        </w:rPr>
        <w:t>W</w:t>
      </w:r>
      <w:r>
        <w:rPr>
          <w:rFonts w:ascii="Theinhardt Regular"/>
          <w:color w:val="231F20"/>
          <w:spacing w:val="1"/>
          <w:sz w:val="14"/>
        </w:rPr>
        <w:t>a</w:t>
      </w:r>
      <w:r>
        <w:rPr>
          <w:rFonts w:ascii="Theinhardt Regular"/>
          <w:color w:val="231F20"/>
          <w:spacing w:val="2"/>
          <w:sz w:val="14"/>
        </w:rPr>
        <w:t>lse</w:t>
      </w:r>
      <w:r>
        <w:rPr>
          <w:rFonts w:ascii="Theinhardt Regular"/>
          <w:color w:val="231F20"/>
          <w:sz w:val="14"/>
        </w:rPr>
        <w:t>r </w:t>
      </w:r>
      <w:r>
        <w:rPr>
          <w:rFonts w:ascii="Theinhardt Regular"/>
          <w:color w:val="231F20"/>
          <w:spacing w:val="2"/>
          <w:sz w:val="14"/>
        </w:rPr>
        <w:t>In</w:t>
      </w:r>
      <w:r>
        <w:rPr>
          <w:rFonts w:ascii="Theinhardt Regular"/>
          <w:color w:val="231F20"/>
          <w:spacing w:val="5"/>
          <w:sz w:val="14"/>
        </w:rPr>
        <w:t>s</w:t>
      </w:r>
      <w:r>
        <w:rPr>
          <w:rFonts w:ascii="Theinhardt Regular"/>
          <w:color w:val="231F20"/>
          <w:spacing w:val="4"/>
          <w:sz w:val="14"/>
        </w:rPr>
        <w:t>t</w:t>
      </w:r>
      <w:r>
        <w:rPr>
          <w:rFonts w:ascii="Theinhardt Regular"/>
          <w:color w:val="231F20"/>
          <w:spacing w:val="1"/>
          <w:sz w:val="14"/>
        </w:rPr>
        <w:t>al</w:t>
      </w:r>
      <w:r>
        <w:rPr>
          <w:rFonts w:ascii="Theinhardt Regular"/>
          <w:color w:val="231F20"/>
          <w:spacing w:val="2"/>
          <w:sz w:val="14"/>
        </w:rPr>
        <w:t>lation</w:t>
      </w:r>
      <w:r>
        <w:rPr>
          <w:rFonts w:ascii="Theinhardt Regular"/>
          <w:color w:val="231F20"/>
          <w:spacing w:val="5"/>
          <w:sz w:val="14"/>
        </w:rPr>
        <w:t>s</w:t>
      </w:r>
      <w:r>
        <w:rPr>
          <w:rFonts w:ascii="Theinhardt Regular"/>
          <w:color w:val="231F20"/>
          <w:spacing w:val="1"/>
          <w:sz w:val="14"/>
        </w:rPr>
        <w:t>t</w:t>
      </w:r>
      <w:r>
        <w:rPr>
          <w:rFonts w:ascii="Theinhardt Regular"/>
          <w:color w:val="231F20"/>
          <w:spacing w:val="2"/>
          <w:sz w:val="14"/>
        </w:rPr>
        <w:t>ec</w:t>
      </w:r>
      <w:r>
        <w:rPr>
          <w:rFonts w:ascii="Theinhardt Regular"/>
          <w:color w:val="231F20"/>
          <w:spacing w:val="1"/>
          <w:sz w:val="14"/>
        </w:rPr>
        <w:t>hni</w:t>
      </w:r>
      <w:r>
        <w:rPr>
          <w:rFonts w:ascii="Theinhardt Regular"/>
          <w:color w:val="231F20"/>
          <w:sz w:val="14"/>
        </w:rPr>
        <w:t>k </w:t>
      </w:r>
      <w:r>
        <w:rPr>
          <w:rFonts w:ascii="Theinhardt Regular"/>
          <w:color w:val="231F20"/>
          <w:spacing w:val="2"/>
          <w:sz w:val="14"/>
        </w:rPr>
        <w:t>GmbH</w:t>
      </w:r>
      <w:r>
        <w:rPr>
          <w:rFonts w:ascii="Theinhardt Regular"/>
          <w:color w:val="231F20"/>
          <w:spacing w:val="2"/>
          <w:sz w:val="14"/>
        </w:rPr>
        <w:t> </w:t>
      </w:r>
      <w:r>
        <w:rPr>
          <w:rFonts w:ascii="Theinhardt Regular"/>
          <w:color w:val="231F20"/>
          <w:sz w:val="14"/>
        </w:rPr>
        <w:t>9437 </w:t>
      </w:r>
      <w:r>
        <w:rPr>
          <w:rFonts w:ascii="Theinhardt Regular"/>
          <w:color w:val="231F20"/>
          <w:spacing w:val="1"/>
          <w:sz w:val="14"/>
        </w:rPr>
        <w:t>Marbach</w:t>
      </w:r>
      <w:r>
        <w:rPr>
          <w:rFonts w:ascii="Theinhardt Regular"/>
          <w:sz w:val="14"/>
        </w:rPr>
      </w:r>
    </w:p>
    <w:p>
      <w:pPr>
        <w:spacing w:after="0" w:line="16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4"/>
          <w:szCs w:val="4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pict>
          <v:group style="width:167.25pt;height:75.150pt;mso-position-horizontal-relative:char;mso-position-vertical-relative:line" coordorigin="0,0" coordsize="3345,1503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  <v:shape style="position:absolute;left:0;top:56;width:3345;height:1446" type="#_x0000_t75" stroked="false">
                <v:imagedata r:id="rId7" o:title="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1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988001pt;margin-top:-226.796005pt;width:345.185pt;height:226.772pt;mso-position-horizontal-relative:page;mso-position-vertical-relative:paragraph;z-index:1192" type="#_x0000_t75" stroked="false">
            <v:imagedata r:id="rId8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2"/>
          <w:szCs w:val="12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47" w:val="left" w:leader="none"/>
        </w:tabs>
        <w:spacing w:line="160" w:lineRule="exact" w:before="76"/>
        <w:ind w:left="346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Südwestansicht des </w:t>
      </w:r>
      <w:r>
        <w:rPr>
          <w:rFonts w:ascii="Theinhardt Bold" w:hAnsi="Theinhardt Bold"/>
          <w:b/>
          <w:color w:val="231F20"/>
          <w:spacing w:val="-1"/>
          <w:sz w:val="14"/>
        </w:rPr>
        <w:t>12-Familien-PEB</w:t>
      </w:r>
      <w:r>
        <w:rPr>
          <w:rFonts w:ascii="Theinhardt Bold" w:hAnsi="Theinhardt Bold"/>
          <w:b/>
          <w:color w:val="231F20"/>
          <w:sz w:val="14"/>
        </w:rPr>
        <w:t> mit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3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vollflächig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und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seitenbündig </w:t>
      </w:r>
      <w:r>
        <w:rPr>
          <w:rFonts w:ascii="Theinhardt Bold" w:hAnsi="Theinhardt Bold"/>
          <w:b/>
          <w:color w:val="231F20"/>
          <w:spacing w:val="-1"/>
          <w:sz w:val="14"/>
        </w:rPr>
        <w:t>Ost-West-integrier-</w:t>
      </w:r>
      <w:r>
        <w:rPr>
          <w:rFonts w:ascii="Theinhardt Bold" w:hAnsi="Theinhardt Bold"/>
          <w:b/>
          <w:color w:val="231F20"/>
          <w:spacing w:val="3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ten </w:t>
      </w:r>
      <w:r>
        <w:rPr>
          <w:rFonts w:ascii="Theinhardt Bold" w:hAnsi="Theinhardt Bold"/>
          <w:b/>
          <w:color w:val="231F20"/>
          <w:spacing w:val="-1"/>
          <w:sz w:val="14"/>
        </w:rPr>
        <w:t>44-kWp-PV-Anlage.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Dazu </w:t>
      </w:r>
      <w:r>
        <w:rPr>
          <w:rFonts w:ascii="Theinhardt Bold" w:hAnsi="Theinhardt Bold"/>
          <w:b/>
          <w:color w:val="231F20"/>
          <w:spacing w:val="-1"/>
          <w:sz w:val="14"/>
        </w:rPr>
        <w:t>liefert</w:t>
      </w:r>
      <w:r>
        <w:rPr>
          <w:rFonts w:ascii="Theinhardt Bold" w:hAnsi="Theinhardt Bold"/>
          <w:b/>
          <w:color w:val="231F20"/>
          <w:sz w:val="14"/>
        </w:rPr>
        <w:t> eine</w:t>
      </w:r>
      <w:r>
        <w:rPr>
          <w:rFonts w:ascii="Theinhardt Bold" w:hAnsi="Theinhardt Bold"/>
          <w:sz w:val="14"/>
        </w:rPr>
      </w:r>
    </w:p>
    <w:p>
      <w:pPr>
        <w:spacing w:line="177" w:lineRule="exact" w:before="0"/>
        <w:ind w:left="34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20-m</w:t>
      </w:r>
      <w:r>
        <w:rPr>
          <w:rFonts w:ascii="Theinhardt Bold"/>
          <w:b/>
          <w:color w:val="231F20"/>
          <w:spacing w:val="-1"/>
          <w:position w:val="5"/>
          <w:sz w:val="8"/>
        </w:rPr>
        <w:t>2</w:t>
      </w:r>
      <w:r>
        <w:rPr>
          <w:rFonts w:ascii="Theinhardt Bold"/>
          <w:b/>
          <w:color w:val="231F20"/>
          <w:spacing w:val="-1"/>
          <w:sz w:val="14"/>
        </w:rPr>
        <w:t>-Sonnenkollektoranlage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2"/>
          <w:sz w:val="14"/>
        </w:rPr>
        <w:t>Warmwasser.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47" w:val="left" w:leader="none"/>
        </w:tabs>
        <w:spacing w:line="160" w:lineRule="exact" w:before="76"/>
        <w:ind w:left="346" w:right="3689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Nordansicht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des MFH 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44-kWp-Dachanla-</w:t>
      </w:r>
      <w:r>
        <w:rPr>
          <w:rFonts w:ascii="Theinhardt Bold" w:hAnsi="Theinhardt Bold" w:cs="Theinhardt Bold" w:eastAsia="Theinhardt Bold"/>
          <w:b/>
          <w:bCs/>
          <w:color w:val="231F20"/>
          <w:spacing w:val="5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allseitig integrierte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42.7-kWp-PV-Fassa-</w:t>
      </w:r>
      <w:r>
        <w:rPr>
          <w:rFonts w:ascii="Theinhardt Bold" w:hAnsi="Theinhardt Bold" w:cs="Theinhardt Bold" w:eastAsia="Theinhardt Bold"/>
          <w:b/>
          <w:bCs/>
          <w:color w:val="231F20"/>
          <w:spacing w:val="3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denanlage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liefert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24’350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Alle Solaranla-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gen zusammen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80’800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3458" w:space="107"/>
            <w:col w:w="7145"/>
          </w:cols>
        </w:sect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70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6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56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.staedler@bluewin.ch" TargetMode="External"/><Relationship Id="rId6" Type="http://schemas.openxmlformats.org/officeDocument/2006/relationships/hyperlink" Target="mailto:mb.bau@bluewin.ch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2015-09-02T12:07:41Z</dcterms:created>
  <dcterms:modified xsi:type="dcterms:W3CDTF">2015-09-02T12:07:41Z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