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30" w:lineRule="exact" w:before="0"/>
        <w:ind w:left="98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9.3465pt;margin-top:12.034707pt;width:122.6pt;height:.45pt;mso-position-horizontal-relative:page;mso-position-vertical-relative:paragraph;z-index:-5464" coordorigin="987,241" coordsize="2452,9">
            <v:group style="position:absolute;left:1008;top:245;width:2418;height:2" coordorigin="1008,245" coordsize="2418,2">
              <v:shape style="position:absolute;left:1008;top:245;width:2418;height:2" coordorigin="1008,245" coordsize="2418,0" path="m1008,245l3426,245e" filled="false" stroked="true" strokeweight=".425pt" strokecolor="#231f20">
                <v:path arrowok="t"/>
                <v:stroke dashstyle="dash"/>
              </v:shape>
            </v:group>
            <v:group style="position:absolute;left:991;top:245;width:2;height:2" coordorigin="991,245" coordsize="2,2">
              <v:shape style="position:absolute;left:991;top:245;width:2;height:2" coordorigin="991,245" coordsize="0,0" path="m991,245l991,245e" filled="false" stroked="true" strokeweight=".425pt" strokecolor="#231f20">
                <v:path arrowok="t"/>
              </v:shape>
            </v:group>
            <v:group style="position:absolute;left:3435;top:245;width:2;height:2" coordorigin="3435,245" coordsize="2,2">
              <v:shape style="position:absolute;left:3435;top:245;width:2;height:2" coordorigin="3435,245" coordsize="0,0" path="m3435,245l3435,245e" filled="false" stroked="true" strokeweight=".4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3465pt;margin-top:23.534708pt;width:122.6pt;height:.45pt;mso-position-horizontal-relative:page;mso-position-vertical-relative:paragraph;z-index:-5440" coordorigin="987,471" coordsize="2452,9">
            <v:group style="position:absolute;left:1008;top:475;width:2418;height:2" coordorigin="1008,475" coordsize="2418,2">
              <v:shape style="position:absolute;left:1008;top:475;width:2418;height:2" coordorigin="1008,475" coordsize="2418,0" path="m1008,475l3426,475e" filled="false" stroked="true" strokeweight=".425pt" strokecolor="#231f20">
                <v:path arrowok="t"/>
                <v:stroke dashstyle="dash"/>
              </v:shape>
            </v:group>
            <v:group style="position:absolute;left:991;top:475;width:2;height:2" coordorigin="991,475" coordsize="2,2">
              <v:shape style="position:absolute;left:991;top:475;width:2;height:2" coordorigin="991,475" coordsize="0,0" path="m991,475l991,475e" filled="false" stroked="true" strokeweight=".425pt" strokecolor="#231f20">
                <v:path arrowok="t"/>
              </v:shape>
            </v:group>
            <v:group style="position:absolute;left:3435;top:475;width:2;height:2" coordorigin="3435,475" coordsize="2,2">
              <v:shape style="position:absolute;left:3435;top:475;width:2;height:2" coordorigin="3435,475" coordsize="0,0" path="m3435,475l3435,475e" filled="false" stroked="true" strokeweight=".4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pt;margin-top:-65.789589pt;width:.1pt;height:15pt;mso-position-horizontal-relative:page;mso-position-vertical-relative:paragraph;z-index:1288" coordorigin="420,-1316" coordsize="2,300">
            <v:shape style="position:absolute;left:420;top:-1316;width:2;height:300" coordorigin="420,-1316" coordsize="0,300" path="m420,-1016l420,-1316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pacing w:val="1"/>
          <w:sz w:val="18"/>
        </w:rPr>
        <w:t>Kategorie</w:t>
      </w:r>
      <w:r>
        <w:rPr>
          <w:rFonts w:ascii="Theinhardt Black" w:hAnsi="Theinhardt Black"/>
          <w:b/>
          <w:color w:val="231F20"/>
          <w:sz w:val="18"/>
        </w:rPr>
        <w:t> B</w:t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</w:rPr>
        <w:t>PlusEnergieBauten</w:t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3"/>
          <w:szCs w:val="13"/>
        </w:rPr>
      </w:pPr>
      <w:r>
        <w:rPr/>
        <w:br w:type="column"/>
      </w:r>
      <w:r>
        <w:rPr>
          <w:rFonts w:ascii="Theinhardt Regular"/>
          <w:sz w:val="13"/>
        </w:rPr>
      </w:r>
    </w:p>
    <w:p>
      <w:pPr>
        <w:spacing w:line="230" w:lineRule="exact" w:before="0"/>
        <w:ind w:left="249" w:right="126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pict>
          <v:group style="position:absolute;margin-left:622.276001pt;margin-top:-44.789593pt;width:15pt;height:.1pt;mso-position-horizontal-relative:page;mso-position-vertical-relative:paragraph;z-index:1240" coordorigin="12446,-896" coordsize="300,2">
            <v:shape style="position:absolute;left:12446;top:-896;width:300;height:2" coordorigin="12446,-896" coordsize="300,0" path="m12446,-896l12746,-896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-65.789589pt;width:.1pt;height:15pt;mso-position-horizontal-relative:page;mso-position-vertical-relative:paragraph;z-index:1336" coordorigin="12326,-1316" coordsize="2,300">
            <v:shape style="position:absolute;left:12326;top:-1316;width:2;height:300" coordorigin="12326,-1316" coordsize="0,300" path="m12326,-1016l12326,-1316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Quadrat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erweiterte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1959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Bern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7-Familienhaus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fünf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Familienwohnungen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Attikawohnungen.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Wärme-</w:t>
      </w:r>
      <w:r>
        <w:rPr>
          <w:rFonts w:ascii="Theinhardt Bold" w:hAnsi="Theinhardt Bold" w:cs="Theinhardt Bold" w:eastAsia="Theinhardt Bold"/>
          <w:b/>
          <w:bCs/>
          <w:color w:val="231F20"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effizienten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Geräten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 Beleuchtung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bisherige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 um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81% auf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36’300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Attikageschosses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37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Ost-West-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PV-Flachdachanlage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installiert,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37’300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generiert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restliche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liefert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Erdsonden-Wär-</w:t>
      </w:r>
      <w:r>
        <w:rPr>
          <w:rFonts w:ascii="Theinhardt Bold" w:hAnsi="Theinhardt Bold" w:cs="Theinhardt Bold" w:eastAsia="Theinhardt Bold"/>
          <w:b/>
          <w:bCs/>
          <w:color w:val="231F20"/>
          <w:spacing w:val="8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mepumpe,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welche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alte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Ölheizung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ersetzt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-Emissionen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senkt.</w:t>
      </w:r>
      <w:r>
        <w:rPr>
          <w:rFonts w:ascii="Theinhardt Bold" w:hAnsi="Theinhardt Bold" w:cs="Theinhardt Bold" w:eastAsia="Theinhardt Bold"/>
          <w:b/>
          <w:bCs/>
          <w:color w:val="231F20"/>
          <w:spacing w:val="8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47’100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130%.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</w:t>
      </w:r>
      <w:r>
        <w:rPr>
          <w:rFonts w:ascii="Theinhardt Bold" w:hAnsi="Theinhardt Bold" w:cs="Theinhardt Bold" w:eastAsia="Theinhardt Bold"/>
          <w:b/>
          <w:bCs/>
          <w:color w:val="231F20"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PlusEnergieBau-MFH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auf Berner Stadtboden.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750" w:h="17680"/>
          <w:pgMar w:top="0" w:bottom="0" w:left="0" w:right="0"/>
          <w:cols w:num="2" w:equalWidth="0">
            <w:col w:w="3377" w:space="40"/>
            <w:col w:w="9333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98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130%-PEB-MFH Quadrat AG, 3008 Bern/BE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750" w:h="17680"/>
          <w:pgMar w:top="0" w:bottom="0" w:left="0" w:right="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1959</w:t>
      </w:r>
      <w:r>
        <w:rPr>
          <w:color w:val="231F20"/>
          <w:spacing w:val="-1"/>
        </w:rPr>
        <w:t> </w:t>
      </w:r>
      <w:r>
        <w:rPr>
          <w:color w:val="231F20"/>
        </w:rPr>
        <w:t>erstellte</w:t>
      </w:r>
      <w:r>
        <w:rPr>
          <w:color w:val="231F20"/>
          <w:spacing w:val="-1"/>
        </w:rPr>
        <w:t> </w:t>
      </w:r>
      <w:r>
        <w:rPr>
          <w:color w:val="231F20"/>
        </w:rPr>
        <w:t>Gebäude</w:t>
      </w:r>
      <w:r>
        <w:rPr>
          <w:color w:val="231F20"/>
          <w:spacing w:val="-1"/>
        </w:rPr>
        <w:t> </w:t>
      </w:r>
      <w:r>
        <w:rPr>
          <w:color w:val="231F20"/>
        </w:rPr>
        <w:t>am</w:t>
      </w:r>
      <w:r>
        <w:rPr>
          <w:color w:val="231F20"/>
          <w:spacing w:val="-1"/>
        </w:rPr>
        <w:t> </w:t>
      </w:r>
      <w:r>
        <w:rPr>
          <w:color w:val="231F20"/>
        </w:rPr>
        <w:t>Monrepos-</w:t>
      </w:r>
      <w:r>
        <w:rPr>
          <w:color w:val="231F20"/>
        </w:rPr>
        <w:t> weg</w:t>
      </w:r>
      <w:r>
        <w:rPr>
          <w:color w:val="231F20"/>
          <w:spacing w:val="22"/>
        </w:rPr>
        <w:t> </w:t>
      </w:r>
      <w:r>
        <w:rPr>
          <w:color w:val="231F20"/>
        </w:rPr>
        <w:t>24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Bern</w:t>
      </w:r>
      <w:r>
        <w:rPr>
          <w:color w:val="231F20"/>
          <w:spacing w:val="22"/>
        </w:rPr>
        <w:t> </w:t>
      </w:r>
      <w:r>
        <w:rPr>
          <w:color w:val="231F20"/>
        </w:rPr>
        <w:t>umfasste</w:t>
      </w:r>
      <w:r>
        <w:rPr>
          <w:color w:val="231F20"/>
          <w:spacing w:val="22"/>
        </w:rPr>
        <w:t> </w:t>
      </w:r>
      <w:r>
        <w:rPr>
          <w:color w:val="231F20"/>
        </w:rPr>
        <w:t>ursprünglich</w:t>
      </w:r>
      <w:r>
        <w:rPr>
          <w:color w:val="231F20"/>
          <w:spacing w:val="22"/>
        </w:rPr>
        <w:t> </w:t>
      </w:r>
      <w:r>
        <w:rPr>
          <w:color w:val="231F20"/>
        </w:rPr>
        <w:t>18</w:t>
      </w:r>
      <w:r>
        <w:rPr>
          <w:color w:val="231F20"/>
        </w:rPr>
        <w:t> Einzimmerwohnungen</w:t>
      </w:r>
      <w:r>
        <w:rPr>
          <w:color w:val="231F20"/>
          <w:spacing w:val="40"/>
        </w:rPr>
        <w:t> </w:t>
      </w:r>
      <w:r>
        <w:rPr>
          <w:color w:val="231F20"/>
        </w:rPr>
        <w:t>mit</w:t>
      </w:r>
      <w:r>
        <w:rPr>
          <w:color w:val="231F20"/>
          <w:spacing w:val="41"/>
        </w:rPr>
        <w:t> </w:t>
      </w:r>
      <w:r>
        <w:rPr>
          <w:color w:val="231F20"/>
        </w:rPr>
        <w:t>einem</w:t>
      </w:r>
      <w:r>
        <w:rPr>
          <w:color w:val="231F20"/>
          <w:spacing w:val="40"/>
        </w:rPr>
        <w:t> </w:t>
      </w:r>
      <w:r>
        <w:rPr>
          <w:color w:val="231F20"/>
        </w:rPr>
        <w:t>Sattel-</w:t>
      </w:r>
      <w:r>
        <w:rPr>
          <w:color w:val="231F20"/>
        </w:rPr>
        <w:t> dach.</w:t>
      </w:r>
      <w:r>
        <w:rPr>
          <w:color w:val="231F20"/>
          <w:spacing w:val="39"/>
        </w:rPr>
        <w:t> </w:t>
      </w:r>
      <w:r>
        <w:rPr>
          <w:color w:val="231F20"/>
        </w:rPr>
        <w:t>Durch</w:t>
      </w:r>
      <w:r>
        <w:rPr>
          <w:color w:val="231F20"/>
          <w:spacing w:val="40"/>
        </w:rPr>
        <w:t> </w:t>
      </w:r>
      <w:r>
        <w:rPr>
          <w:color w:val="231F20"/>
        </w:rPr>
        <w:t>den</w:t>
      </w:r>
      <w:r>
        <w:rPr>
          <w:color w:val="231F20"/>
          <w:spacing w:val="39"/>
        </w:rPr>
        <w:t> </w:t>
      </w:r>
      <w:r>
        <w:rPr>
          <w:color w:val="231F20"/>
        </w:rPr>
        <w:t>Umbau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40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Aufsto-</w:t>
      </w:r>
      <w:r>
        <w:rPr>
          <w:color w:val="231F20"/>
          <w:spacing w:val="26"/>
        </w:rPr>
        <w:t> </w:t>
      </w:r>
      <w:r>
        <w:rPr>
          <w:color w:val="231F20"/>
        </w:rPr>
        <w:t>ckung</w:t>
      </w:r>
      <w:r>
        <w:rPr>
          <w:color w:val="231F20"/>
          <w:spacing w:val="16"/>
        </w:rPr>
        <w:t> </w:t>
      </w:r>
      <w:r>
        <w:rPr>
          <w:color w:val="231F20"/>
        </w:rPr>
        <w:t>entstand</w:t>
      </w:r>
      <w:r>
        <w:rPr>
          <w:color w:val="231F20"/>
          <w:spacing w:val="16"/>
        </w:rPr>
        <w:t> </w:t>
      </w:r>
      <w:r>
        <w:rPr>
          <w:color w:val="231F20"/>
        </w:rPr>
        <w:t>2014</w:t>
      </w:r>
      <w:r>
        <w:rPr>
          <w:color w:val="231F20"/>
          <w:spacing w:val="16"/>
        </w:rPr>
        <w:t> </w:t>
      </w:r>
      <w:r>
        <w:rPr>
          <w:color w:val="231F20"/>
        </w:rPr>
        <w:t>aus</w:t>
      </w:r>
      <w:r>
        <w:rPr>
          <w:color w:val="231F20"/>
          <w:spacing w:val="16"/>
        </w:rPr>
        <w:t> </w:t>
      </w:r>
      <w:r>
        <w:rPr>
          <w:color w:val="231F20"/>
        </w:rPr>
        <w:t>dem</w:t>
      </w:r>
      <w:r>
        <w:rPr>
          <w:color w:val="231F20"/>
          <w:spacing w:val="16"/>
        </w:rPr>
        <w:t> </w:t>
      </w:r>
      <w:r>
        <w:rPr>
          <w:color w:val="231F20"/>
        </w:rPr>
        <w:t>alten</w:t>
      </w:r>
      <w:r>
        <w:rPr>
          <w:color w:val="231F20"/>
          <w:spacing w:val="16"/>
        </w:rPr>
        <w:t> </w:t>
      </w:r>
      <w:r>
        <w:rPr>
          <w:color w:val="231F20"/>
        </w:rPr>
        <w:t>zwei-</w:t>
      </w:r>
      <w:r>
        <w:rPr>
          <w:color w:val="231F20"/>
        </w:rPr>
        <w:t> geschossigen</w:t>
      </w:r>
      <w:r>
        <w:rPr>
          <w:color w:val="231F20"/>
          <w:spacing w:val="3"/>
        </w:rPr>
        <w:t> </w:t>
      </w:r>
      <w:r>
        <w:rPr>
          <w:color w:val="231F20"/>
        </w:rPr>
        <w:t>Bau</w:t>
      </w:r>
      <w:r>
        <w:rPr>
          <w:color w:val="231F20"/>
          <w:spacing w:val="3"/>
        </w:rPr>
        <w:t> </w:t>
      </w:r>
      <w:r>
        <w:rPr>
          <w:color w:val="231F20"/>
        </w:rPr>
        <w:t>ein</w:t>
      </w:r>
      <w:r>
        <w:rPr>
          <w:color w:val="231F20"/>
          <w:spacing w:val="3"/>
        </w:rPr>
        <w:t> </w:t>
      </w:r>
      <w:r>
        <w:rPr>
          <w:color w:val="231F20"/>
        </w:rPr>
        <w:t>umfassend</w:t>
      </w:r>
      <w:r>
        <w:rPr>
          <w:color w:val="231F20"/>
          <w:spacing w:val="3"/>
        </w:rPr>
        <w:t> </w:t>
      </w:r>
      <w:r>
        <w:rPr>
          <w:color w:val="231F20"/>
        </w:rPr>
        <w:t>saniertes</w:t>
      </w:r>
      <w:r>
        <w:rPr>
          <w:color w:val="231F20"/>
        </w:rPr>
        <w:t> 7-Familienhaus mit drei Etagen.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Trotz</w:t>
      </w:r>
      <w:r>
        <w:rPr>
          <w:color w:val="231F20"/>
          <w:spacing w:val="1"/>
        </w:rPr>
        <w:t> </w:t>
      </w:r>
      <w:r>
        <w:rPr>
          <w:color w:val="231F20"/>
        </w:rPr>
        <w:t>Erweiterung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Wohnfläche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</w:rPr>
        <w:t> 15%</w:t>
      </w:r>
      <w:r>
        <w:rPr>
          <w:color w:val="231F20"/>
          <w:spacing w:val="6"/>
        </w:rPr>
        <w:t> </w:t>
      </w:r>
      <w:r>
        <w:rPr>
          <w:color w:val="231F20"/>
        </w:rPr>
        <w:t>sank</w:t>
      </w:r>
      <w:r>
        <w:rPr>
          <w:color w:val="231F20"/>
          <w:spacing w:val="6"/>
        </w:rPr>
        <w:t> </w:t>
      </w: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</w:rPr>
        <w:t>Energiebedarf</w:t>
      </w:r>
      <w:r>
        <w:rPr>
          <w:color w:val="231F20"/>
          <w:spacing w:val="6"/>
        </w:rPr>
        <w:t> </w:t>
      </w:r>
      <w:r>
        <w:rPr>
          <w:color w:val="231F20"/>
        </w:rPr>
        <w:t>dank</w:t>
      </w:r>
      <w:r>
        <w:rPr>
          <w:color w:val="231F20"/>
          <w:spacing w:val="6"/>
        </w:rPr>
        <w:t> </w:t>
      </w:r>
      <w:r>
        <w:rPr>
          <w:color w:val="231F20"/>
        </w:rPr>
        <w:t>Wärme-</w:t>
      </w:r>
      <w:r>
        <w:rPr>
          <w:color w:val="231F20"/>
        </w:rPr>
        <w:t> dämmung,</w:t>
      </w:r>
      <w:r>
        <w:rPr>
          <w:color w:val="231F20"/>
          <w:spacing w:val="11"/>
        </w:rPr>
        <w:t> </w:t>
      </w:r>
      <w:r>
        <w:rPr>
          <w:color w:val="231F20"/>
        </w:rPr>
        <w:t>Komfortlüftung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Wärmerück-</w:t>
      </w:r>
      <w:r>
        <w:rPr>
          <w:color w:val="231F20"/>
          <w:spacing w:val="29"/>
        </w:rPr>
        <w:t> </w:t>
      </w:r>
      <w:r>
        <w:rPr>
          <w:color w:val="231F20"/>
        </w:rPr>
        <w:t>gewinnung,</w:t>
      </w:r>
      <w:r>
        <w:rPr>
          <w:color w:val="231F20"/>
          <w:spacing w:val="22"/>
        </w:rPr>
        <w:t> </w:t>
      </w:r>
      <w:r>
        <w:rPr>
          <w:color w:val="231F20"/>
        </w:rPr>
        <w:t>effizienteren</w:t>
      </w:r>
      <w:r>
        <w:rPr>
          <w:color w:val="231F20"/>
          <w:spacing w:val="22"/>
        </w:rPr>
        <w:t> </w:t>
      </w:r>
      <w:r>
        <w:rPr>
          <w:color w:val="231F20"/>
        </w:rPr>
        <w:t>Haushaltsgeräten</w:t>
      </w:r>
      <w:r>
        <w:rPr>
          <w:color w:val="231F20"/>
        </w:rPr>
        <w:t> und</w:t>
      </w:r>
      <w:r>
        <w:rPr>
          <w:color w:val="231F20"/>
          <w:spacing w:val="43"/>
        </w:rPr>
        <w:t> </w:t>
      </w:r>
      <w:r>
        <w:rPr>
          <w:color w:val="231F20"/>
        </w:rPr>
        <w:t>LED-Lampen</w:t>
      </w:r>
      <w:r>
        <w:rPr>
          <w:color w:val="231F20"/>
          <w:spacing w:val="44"/>
        </w:rPr>
        <w:t> </w:t>
      </w:r>
      <w:r>
        <w:rPr>
          <w:color w:val="231F20"/>
        </w:rPr>
        <w:t>um</w:t>
      </w:r>
      <w:r>
        <w:rPr>
          <w:color w:val="231F20"/>
          <w:spacing w:val="43"/>
        </w:rPr>
        <w:t> </w:t>
      </w:r>
      <w:r>
        <w:rPr>
          <w:color w:val="231F20"/>
        </w:rPr>
        <w:t>81%</w:t>
      </w:r>
      <w:r>
        <w:rPr>
          <w:color w:val="231F20"/>
          <w:spacing w:val="44"/>
        </w:rPr>
        <w:t> </w:t>
      </w:r>
      <w:r>
        <w:rPr>
          <w:color w:val="231F20"/>
        </w:rPr>
        <w:t>von</w:t>
      </w:r>
      <w:r>
        <w:rPr>
          <w:color w:val="231F20"/>
          <w:spacing w:val="44"/>
        </w:rPr>
        <w:t> </w:t>
      </w:r>
      <w:r>
        <w:rPr>
          <w:color w:val="231F20"/>
        </w:rPr>
        <w:t>188’700</w:t>
      </w:r>
      <w:r>
        <w:rPr>
          <w:color w:val="231F20"/>
        </w:rPr>
        <w:t> kWh/a auf 36’300 kWh/a.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21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1"/>
        </w:rPr>
        <w:t> </w:t>
      </w:r>
      <w:r>
        <w:rPr>
          <w:color w:val="231F20"/>
        </w:rPr>
        <w:t>thermische</w:t>
      </w:r>
      <w:r>
        <w:rPr>
          <w:color w:val="231F20"/>
          <w:spacing w:val="1"/>
        </w:rPr>
        <w:t> </w:t>
      </w:r>
      <w:r>
        <w:rPr>
          <w:color w:val="231F20"/>
        </w:rPr>
        <w:t>Anlage</w:t>
      </w:r>
      <w:r>
        <w:rPr>
          <w:color w:val="231F20"/>
          <w:spacing w:val="2"/>
        </w:rPr>
        <w:t> </w:t>
      </w:r>
      <w:r>
        <w:rPr>
          <w:color w:val="231F20"/>
        </w:rPr>
        <w:t>auf</w:t>
      </w:r>
      <w:r>
        <w:rPr>
          <w:color w:val="231F20"/>
          <w:spacing w:val="21"/>
        </w:rPr>
        <w:t> </w:t>
      </w:r>
      <w:r>
        <w:rPr>
          <w:color w:val="231F20"/>
        </w:rPr>
        <w:t>dem</w:t>
      </w:r>
      <w:r>
        <w:rPr>
          <w:color w:val="231F20"/>
          <w:spacing w:val="-4"/>
        </w:rPr>
        <w:t> </w:t>
      </w:r>
      <w:r>
        <w:rPr>
          <w:color w:val="231F20"/>
        </w:rPr>
        <w:t>Dach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neuen</w:t>
      </w:r>
      <w:r>
        <w:rPr>
          <w:color w:val="231F20"/>
          <w:spacing w:val="-5"/>
        </w:rPr>
        <w:t> </w:t>
      </w:r>
      <w:r>
        <w:rPr>
          <w:color w:val="231F20"/>
        </w:rPr>
        <w:t>Attikageschosses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ver-</w:t>
      </w:r>
      <w:r>
        <w:rPr>
          <w:color w:val="231F20"/>
          <w:spacing w:val="23"/>
        </w:rPr>
        <w:t> </w:t>
      </w:r>
      <w:r>
        <w:rPr>
          <w:color w:val="231F20"/>
        </w:rPr>
        <w:t>sorgt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5"/>
        </w:rPr>
        <w:t> </w:t>
      </w:r>
      <w:r>
        <w:rPr>
          <w:color w:val="231F20"/>
        </w:rPr>
        <w:t>MFH</w:t>
      </w:r>
      <w:r>
        <w:rPr>
          <w:color w:val="231F20"/>
          <w:spacing w:val="6"/>
        </w:rPr>
        <w:t> </w:t>
      </w:r>
      <w:r>
        <w:rPr>
          <w:color w:val="231F20"/>
        </w:rPr>
        <w:t>mit</w:t>
      </w:r>
      <w:r>
        <w:rPr>
          <w:color w:val="231F20"/>
          <w:spacing w:val="5"/>
        </w:rPr>
        <w:t> </w:t>
      </w:r>
      <w:r>
        <w:rPr>
          <w:color w:val="231F20"/>
        </w:rPr>
        <w:t>9’800</w:t>
      </w:r>
      <w:r>
        <w:rPr>
          <w:color w:val="231F20"/>
          <w:spacing w:val="5"/>
        </w:rPr>
        <w:t> </w:t>
      </w:r>
      <w:r>
        <w:rPr>
          <w:color w:val="231F20"/>
        </w:rPr>
        <w:t>kWh/a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-freier</w:t>
      </w:r>
      <w:r>
        <w:rPr>
          <w:color w:val="231F20"/>
          <w:spacing w:val="29"/>
        </w:rPr>
        <w:t> </w:t>
      </w:r>
      <w:r>
        <w:rPr>
          <w:color w:val="231F20"/>
        </w:rPr>
        <w:t>Wärmeenergie.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37</w:t>
      </w:r>
      <w:r>
        <w:rPr>
          <w:color w:val="231F20"/>
          <w:spacing w:val="-11"/>
        </w:rPr>
        <w:t> </w:t>
      </w:r>
      <w:r>
        <w:rPr>
          <w:color w:val="231F20"/>
        </w:rPr>
        <w:t>kW</w:t>
      </w:r>
      <w:r>
        <w:rPr>
          <w:color w:val="231F20"/>
          <w:spacing w:val="-11"/>
        </w:rPr>
        <w:t> </w:t>
      </w:r>
      <w:r>
        <w:rPr>
          <w:color w:val="231F20"/>
        </w:rPr>
        <w:t>starke</w:t>
      </w:r>
      <w:r>
        <w:rPr>
          <w:color w:val="231F20"/>
          <w:spacing w:val="-11"/>
        </w:rPr>
        <w:t> </w:t>
      </w:r>
      <w:r>
        <w:rPr>
          <w:color w:val="231F20"/>
        </w:rPr>
        <w:t>PV-Anlage</w:t>
      </w:r>
      <w:r>
        <w:rPr>
          <w:color w:val="231F20"/>
        </w:rPr>
        <w:t> mit</w:t>
      </w:r>
      <w:r>
        <w:rPr>
          <w:color w:val="231F20"/>
          <w:spacing w:val="-22"/>
        </w:rPr>
        <w:t> </w:t>
      </w:r>
      <w:r>
        <w:rPr>
          <w:color w:val="231F20"/>
        </w:rPr>
        <w:t>polykristallinen</w:t>
      </w:r>
      <w:r>
        <w:rPr>
          <w:color w:val="231F20"/>
          <w:spacing w:val="-22"/>
        </w:rPr>
        <w:t> </w:t>
      </w:r>
      <w:r>
        <w:rPr>
          <w:color w:val="231F20"/>
        </w:rPr>
        <w:t>Solarzellen</w:t>
      </w:r>
      <w:r>
        <w:rPr>
          <w:color w:val="231F20"/>
          <w:spacing w:val="-22"/>
        </w:rPr>
        <w:t> </w:t>
      </w:r>
      <w:r>
        <w:rPr>
          <w:color w:val="231F20"/>
        </w:rPr>
        <w:t>liefert</w:t>
      </w:r>
      <w:r>
        <w:rPr>
          <w:color w:val="231F20"/>
          <w:spacing w:val="-22"/>
        </w:rPr>
        <w:t> </w:t>
      </w:r>
      <w:r>
        <w:rPr>
          <w:color w:val="231F20"/>
        </w:rPr>
        <w:t>37’300</w:t>
      </w:r>
      <w:r>
        <w:rPr>
          <w:color w:val="231F20"/>
        </w:rPr>
        <w:t> kWh/a.</w:t>
      </w:r>
      <w:r>
        <w:rPr/>
      </w:r>
    </w:p>
    <w:p>
      <w:pPr>
        <w:pStyle w:val="BodyText"/>
        <w:spacing w:line="230" w:lineRule="exact" w:before="52"/>
        <w:ind w:left="186" w:right="0"/>
        <w:jc w:val="right"/>
      </w:pPr>
      <w:r>
        <w:rPr/>
        <w:br w:type="column"/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beiden</w:t>
      </w:r>
      <w:r>
        <w:rPr>
          <w:color w:val="231F20"/>
          <w:spacing w:val="-11"/>
        </w:rPr>
        <w:t> </w:t>
      </w:r>
      <w:r>
        <w:rPr>
          <w:color w:val="231F20"/>
        </w:rPr>
        <w:t>Solaranlagen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pumpe</w:t>
      </w:r>
      <w:r>
        <w:rPr>
          <w:color w:val="231F20"/>
          <w:spacing w:val="10"/>
        </w:rPr>
        <w:t> </w:t>
      </w:r>
      <w:r>
        <w:rPr>
          <w:color w:val="231F20"/>
        </w:rPr>
        <w:t>ersetzen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alte</w:t>
      </w:r>
      <w:r>
        <w:rPr>
          <w:color w:val="231F20"/>
          <w:spacing w:val="10"/>
        </w:rPr>
        <w:t> </w:t>
      </w:r>
      <w:r>
        <w:rPr>
          <w:color w:val="231F20"/>
        </w:rPr>
        <w:t>Ölheizung.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Ei-</w:t>
      </w:r>
      <w:r>
        <w:rPr>
          <w:color w:val="231F20"/>
          <w:spacing w:val="26"/>
        </w:rPr>
        <w:t> </w:t>
      </w:r>
      <w:r>
        <w:rPr>
          <w:color w:val="231F20"/>
        </w:rPr>
        <w:t>genenergieversorgung beträgt rund 130%.</w:t>
      </w:r>
      <w:r>
        <w:rPr>
          <w:color w:val="231F20"/>
        </w:rPr>
        <w:t> </w:t>
      </w:r>
      <w:r>
        <w:rPr>
          <w:color w:val="231F20"/>
          <w:spacing w:val="-2"/>
        </w:rPr>
        <w:t>Holzfassaden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Balkone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schmü-</w:t>
      </w:r>
      <w:r>
        <w:rPr>
          <w:color w:val="231F20"/>
          <w:spacing w:val="27"/>
        </w:rPr>
        <w:t> </w:t>
      </w:r>
      <w:r>
        <w:rPr>
          <w:color w:val="231F20"/>
        </w:rPr>
        <w:t>cken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MFH</w:t>
      </w:r>
      <w:r>
        <w:rPr>
          <w:color w:val="231F20"/>
          <w:spacing w:val="-12"/>
        </w:rPr>
        <w:t> </w:t>
      </w:r>
      <w:r>
        <w:rPr>
          <w:color w:val="231F20"/>
        </w:rPr>
        <w:t>und</w:t>
      </w:r>
      <w:r>
        <w:rPr>
          <w:color w:val="231F20"/>
          <w:spacing w:val="-12"/>
        </w:rPr>
        <w:t> </w:t>
      </w:r>
      <w:r>
        <w:rPr>
          <w:color w:val="231F20"/>
        </w:rPr>
        <w:t>werten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Berner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Stadt-</w:t>
      </w:r>
      <w:r>
        <w:rPr>
          <w:color w:val="231F20"/>
          <w:spacing w:val="25"/>
        </w:rPr>
        <w:t> </w:t>
      </w:r>
      <w:r>
        <w:rPr>
          <w:color w:val="231F20"/>
        </w:rPr>
        <w:t>bild</w:t>
      </w:r>
      <w:r>
        <w:rPr>
          <w:color w:val="231F20"/>
          <w:spacing w:val="38"/>
        </w:rPr>
        <w:t> </w:t>
      </w:r>
      <w:r>
        <w:rPr>
          <w:color w:val="231F20"/>
        </w:rPr>
        <w:t>auf.</w:t>
      </w:r>
      <w:r>
        <w:rPr>
          <w:color w:val="231F20"/>
          <w:spacing w:val="39"/>
        </w:rPr>
        <w:t> </w:t>
      </w:r>
      <w:r>
        <w:rPr>
          <w:color w:val="231F20"/>
        </w:rPr>
        <w:t>Dafür</w:t>
      </w:r>
      <w:r>
        <w:rPr>
          <w:color w:val="231F20"/>
          <w:spacing w:val="38"/>
        </w:rPr>
        <w:t> </w:t>
      </w:r>
      <w:r>
        <w:rPr>
          <w:color w:val="231F20"/>
        </w:rPr>
        <w:t>erhält</w:t>
      </w:r>
      <w:r>
        <w:rPr>
          <w:color w:val="231F20"/>
          <w:spacing w:val="39"/>
        </w:rPr>
        <w:t> </w:t>
      </w:r>
      <w:r>
        <w:rPr>
          <w:color w:val="231F20"/>
        </w:rPr>
        <w:t>das</w:t>
      </w:r>
      <w:r>
        <w:rPr>
          <w:color w:val="231F20"/>
          <w:spacing w:val="39"/>
        </w:rPr>
        <w:t> </w:t>
      </w:r>
      <w:r>
        <w:rPr>
          <w:color w:val="231F20"/>
        </w:rPr>
        <w:t>MFH</w:t>
      </w:r>
      <w:r>
        <w:rPr>
          <w:color w:val="231F20"/>
          <w:spacing w:val="38"/>
        </w:rPr>
        <w:t> </w:t>
      </w:r>
      <w:r>
        <w:rPr>
          <w:color w:val="231F20"/>
        </w:rPr>
        <w:t>das</w:t>
      </w:r>
      <w:r>
        <w:rPr>
          <w:color w:val="231F20"/>
          <w:spacing w:val="39"/>
        </w:rPr>
        <w:t> </w:t>
      </w:r>
      <w:r>
        <w:rPr>
          <w:color w:val="231F20"/>
        </w:rPr>
        <w:t>Plus-</w:t>
      </w:r>
      <w:r>
        <w:rPr/>
      </w:r>
    </w:p>
    <w:p>
      <w:pPr>
        <w:pStyle w:val="BodyText"/>
        <w:spacing w:line="240" w:lineRule="auto" w:before="9"/>
        <w:ind w:left="186" w:right="0" w:firstLine="0"/>
        <w:jc w:val="left"/>
      </w:pPr>
      <w:r>
        <w:rPr>
          <w:color w:val="231F20"/>
        </w:rPr>
        <w:t>EnergieBau-Diplom 2015.</w:t>
      </w:r>
      <w:r>
        <w:rPr/>
      </w:r>
    </w:p>
    <w:p>
      <w:pPr>
        <w:tabs>
          <w:tab w:pos="3518" w:val="left" w:leader="none"/>
        </w:tabs>
        <w:spacing w:before="67"/>
        <w:ind w:left="18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522" w:val="left" w:leader="none"/>
        </w:tabs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52" w:val="left" w:leader="none"/>
          <w:tab w:pos="1158" w:val="left" w:leader="none"/>
          <w:tab w:pos="2575" w:val="left" w:leader="none"/>
        </w:tabs>
        <w:spacing w:line="207" w:lineRule="auto" w:before="5"/>
        <w:ind w:left="186" w:right="14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2"/>
          <w:sz w:val="14"/>
        </w:rPr>
        <w:t>16-24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0.11/0.13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Dach:</w:t>
        <w:tab/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40" w:val="left" w:leader="none"/>
          <w:tab w:pos="2574" w:val="left" w:leader="none"/>
          <w:tab w:pos="2637" w:val="left" w:leader="none"/>
        </w:tabs>
        <w:spacing w:line="207" w:lineRule="auto" w:before="0"/>
        <w:ind w:left="186" w:right="14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  <w:tab/>
      </w:r>
      <w:r>
        <w:rPr>
          <w:rFonts w:ascii="Theinhardt Regular"/>
          <w:color w:val="231F20"/>
          <w:sz w:val="14"/>
        </w:rPr>
        <w:t>0.5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41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931"/>
        <w:gridCol w:w="420"/>
        <w:gridCol w:w="677"/>
      </w:tblGrid>
      <w:tr>
        <w:trPr>
          <w:trHeight w:val="117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907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2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2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Wärmebedarf: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178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161’446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95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30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27’210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8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208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188’656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8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2"/>
          <w:sz w:val="14"/>
        </w:rPr>
        <w:t>[19%]</w:t>
      </w:r>
      <w:r>
        <w:rPr>
          <w:rFonts w:ascii="Theinhardt Bold"/>
          <w:sz w:val="14"/>
        </w:rPr>
      </w:r>
    </w:p>
    <w:p>
      <w:pPr>
        <w:tabs>
          <w:tab w:pos="1599" w:val="left" w:leader="none"/>
          <w:tab w:pos="2009" w:val="left" w:leader="none"/>
          <w:tab w:pos="2440" w:val="left" w:leader="none"/>
          <w:tab w:pos="2857" w:val="left" w:leader="none"/>
        </w:tabs>
        <w:spacing w:line="207" w:lineRule="auto" w:before="5"/>
        <w:ind w:left="186" w:right="14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1’040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Wärmebedarf: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12’088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01" w:val="left" w:leader="none"/>
          <w:tab w:pos="2441" w:val="left" w:leader="none"/>
          <w:tab w:pos="2867" w:val="left" w:leader="none"/>
        </w:tabs>
        <w:spacing w:line="154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23</w:t>
        <w:tab/>
        <w:t>67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24‘184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99" w:val="left" w:leader="none"/>
          <w:tab w:pos="2841" w:val="left" w:leader="none"/>
        </w:tabs>
        <w:spacing w:line="172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35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36‘272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929" w:val="left" w:leader="none"/>
          <w:tab w:pos="2478" w:val="left" w:leader="none"/>
          <w:tab w:pos="2851" w:val="left" w:leader="none"/>
        </w:tabs>
        <w:spacing w:line="207" w:lineRule="auto" w:before="5"/>
        <w:ind w:left="186" w:right="14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37.3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212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103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37’305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17" w:val="left" w:leader="none"/>
          <w:tab w:pos="2441" w:val="left" w:leader="none"/>
          <w:tab w:pos="2929" w:val="left" w:leader="none"/>
        </w:tabs>
        <w:spacing w:line="154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21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467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9’800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79" w:val="left" w:leader="none"/>
          <w:tab w:pos="2850" w:val="left" w:leader="none"/>
        </w:tabs>
        <w:spacing w:line="172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130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47‘105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8" w:val="left" w:leader="none"/>
          <w:tab w:pos="2903" w:val="left" w:leader="none"/>
        </w:tabs>
        <w:spacing w:line="172" w:lineRule="exact" w:before="35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59" w:val="left" w:leader="none"/>
          <w:tab w:pos="2850" w:val="left" w:leader="none"/>
        </w:tabs>
        <w:spacing w:line="160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130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47‘105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8" w:val="left" w:leader="none"/>
          <w:tab w:pos="2841" w:val="left" w:leader="none"/>
        </w:tabs>
        <w:spacing w:line="160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36‘272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38" w:val="left" w:leader="none"/>
          <w:tab w:pos="2844" w:val="left" w:leader="none"/>
        </w:tabs>
        <w:spacing w:line="172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10‘833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43"/>
        <w:ind w:left="186" w:right="19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ewb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25.08.2015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Bernhard</w:t>
      </w:r>
      <w:r>
        <w:rPr>
          <w:rFonts w:ascii="Theinhardt Regular" w:hAnsi="Theinhardt Regular"/>
          <w:color w:val="231F20"/>
          <w:sz w:val="14"/>
        </w:rPr>
        <w:t> Gerber,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031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321</w:t>
      </w:r>
      <w:r>
        <w:rPr>
          <w:rFonts w:ascii="Theinhardt Regular" w:hAnsi="Theinhardt Regular"/>
          <w:color w:val="231F20"/>
          <w:sz w:val="14"/>
        </w:rPr>
        <w:t> 33 98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8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Monreposweg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3008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Bern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Projekt,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Planung,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Gestaltung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Bauleitung: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Quadrat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Dan</w:t>
      </w:r>
      <w:r>
        <w:rPr>
          <w:rFonts w:ascii="Theinhardt Regular"/>
          <w:color w:val="231F20"/>
          <w:sz w:val="14"/>
        </w:rPr>
        <w:t> Hodler, </w:t>
      </w:r>
      <w:r>
        <w:rPr>
          <w:rFonts w:ascii="Theinhardt Regular"/>
          <w:color w:val="231F20"/>
          <w:spacing w:val="1"/>
          <w:sz w:val="14"/>
        </w:rPr>
        <w:t>Manuel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Wyss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Bernstrasse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178,</w:t>
      </w:r>
      <w:r>
        <w:rPr>
          <w:rFonts w:ascii="Theinhardt Regular"/>
          <w:color w:val="231F20"/>
          <w:sz w:val="14"/>
        </w:rPr>
        <w:t> 3052 </w:t>
      </w:r>
      <w:r>
        <w:rPr>
          <w:rFonts w:ascii="Theinhardt Regular"/>
          <w:color w:val="231F20"/>
          <w:spacing w:val="1"/>
          <w:sz w:val="14"/>
        </w:rPr>
        <w:t>Zollikofen,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sz w:val="14"/>
        </w:rPr>
      </w:r>
    </w:p>
    <w:p>
      <w:pPr>
        <w:spacing w:line="160" w:lineRule="exact" w:before="43"/>
        <w:ind w:left="186" w:right="12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Solarthermie-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Photovoltaikanlagen: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Solartechnik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Schmid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Bedachungen,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Meister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Thunstrasse</w:t>
      </w:r>
      <w:r>
        <w:rPr>
          <w:rFonts w:ascii="Theinhardt Regular"/>
          <w:color w:val="231F20"/>
          <w:sz w:val="14"/>
        </w:rPr>
        <w:t> 38, </w:t>
      </w:r>
      <w:r>
        <w:rPr>
          <w:rFonts w:ascii="Theinhardt Regular"/>
          <w:color w:val="231F20"/>
          <w:spacing w:val="-7"/>
          <w:sz w:val="14"/>
        </w:rPr>
        <w:t>3113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Rubigen,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721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52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Energiekonzept: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86" w:right="12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Weber </w:t>
      </w:r>
      <w:r>
        <w:rPr>
          <w:rFonts w:ascii="Theinhardt Regular"/>
          <w:color w:val="231F20"/>
          <w:spacing w:val="1"/>
          <w:sz w:val="14"/>
        </w:rPr>
        <w:t>Energie</w:t>
      </w:r>
      <w:r>
        <w:rPr>
          <w:rFonts w:ascii="Theinhardt Regular"/>
          <w:color w:val="231F20"/>
          <w:sz w:val="14"/>
        </w:rPr>
        <w:t> &amp; </w:t>
      </w:r>
      <w:r>
        <w:rPr>
          <w:rFonts w:ascii="Theinhardt Regular"/>
          <w:color w:val="231F20"/>
          <w:spacing w:val="1"/>
          <w:sz w:val="14"/>
        </w:rPr>
        <w:t>Bauphysik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Moritz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Eggen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Hallerstrasse</w:t>
      </w:r>
      <w:r>
        <w:rPr>
          <w:rFonts w:ascii="Theinhardt Regular"/>
          <w:color w:val="231F20"/>
          <w:sz w:val="14"/>
        </w:rPr>
        <w:t> 58, </w:t>
      </w:r>
      <w:r>
        <w:rPr>
          <w:rFonts w:ascii="Theinhardt Regular"/>
          <w:color w:val="231F20"/>
          <w:spacing w:val="-3"/>
          <w:sz w:val="14"/>
        </w:rPr>
        <w:t>3012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z w:val="14"/>
        </w:rPr>
        <w:t> 302 65 65</w:t>
      </w:r>
      <w:r>
        <w:rPr>
          <w:rFonts w:ascii="Theinhardt Regular"/>
          <w:sz w:val="14"/>
        </w:rPr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750" w:h="17680"/>
          <w:pgMar w:top="0" w:bottom="0" w:left="0" w:right="0"/>
          <w:cols w:num="3" w:equalWidth="0">
            <w:col w:w="4333" w:space="40"/>
            <w:col w:w="3532" w:space="40"/>
            <w:col w:w="4805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813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line="200" w:lineRule="atLeast"/>
        <w:ind w:left="813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3824" cy="116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24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8130" w:val="left" w:leader="none"/>
        </w:tabs>
        <w:spacing w:before="16"/>
        <w:ind w:left="9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9.346001pt;margin-top:-226.667496pt;width:345.827pt;height:226.643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160" w:lineRule="exact" w:before="76"/>
        <w:ind w:left="121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7-Familienhaus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erhielt eine attraktive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Holzfassade.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neuen Attikageschoss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Solaranlagen 47‘100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color w:val="231F20"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decken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130% des Gesamtenergiebedarfs.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76"/>
        <w:ind w:left="415" w:right="494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   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 alte zweigeschossige MFH mit Satteldach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umfasste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18 Einzimmerwohnungen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konsu-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mierte 188’700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750" w:h="17680"/>
          <w:pgMar w:top="0" w:bottom="0" w:left="0" w:right="0"/>
          <w:cols w:num="2" w:equalWidth="0">
            <w:col w:w="4330" w:space="40"/>
            <w:col w:w="8380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9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622.276001pt;margin-top:35.857399pt;width:15pt;height:.1pt;mso-position-horizontal-relative:page;mso-position-vertical-relative:paragraph;z-index:1264" coordorigin="12446,717" coordsize="300,2">
            <v:shape style="position:absolute;left:12446;top:717;width:300;height:2" coordorigin="12446,717" coordsize="300,0" path="m12446,717l12746,71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1pt;margin-top:41.857399pt;width:.1pt;height:15pt;mso-position-horizontal-relative:page;mso-position-vertical-relative:paragraph;z-index:1312" coordorigin="420,837" coordsize="2,300">
            <v:shape style="position:absolute;left:420;top:837;width:2;height:300" coordorigin="420,837" coordsize="0,300" path="m420,837l420,11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41.857399pt;width:.1pt;height:15pt;mso-position-horizontal-relative:page;mso-position-vertical-relative:paragraph;z-index:1360" coordorigin="12326,837" coordsize="2,300">
            <v:shape style="position:absolute;left:12326;top:837;width:2;height:300" coordorigin="12326,837" coordsize="0,300" path="m12326,837l12326,1137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Heavy"/>
          <w:b/>
          <w:color w:val="231F20"/>
          <w:sz w:val="14"/>
        </w:rPr>
        <w:t>72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sectPr>
      <w:type w:val="continuous"/>
      <w:pgSz w:w="12750" w:h="176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2015-09-02T16:59:58Z</dcterms:created>
  <dcterms:modified xsi:type="dcterms:W3CDTF">2015-09-02T16:59:58Z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