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49" w:val="left" w:leader="none"/>
        </w:tabs>
        <w:spacing w:line="230" w:lineRule="exact" w:before="38"/>
        <w:ind w:left="110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42.7323pt;margin-top:14.147329pt;width:.1pt;height:.1pt;mso-position-horizontal-relative:page;mso-position-vertical-relative:paragraph;z-index:-3856" coordorigin="855,283" coordsize="2,2">
            <v:shape style="position:absolute;left:855;top:283;width:2;height:2" coordorigin="855,283" coordsize="0,0" path="m855,283l855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64.905304pt;margin-top:14.147329pt;width:.1pt;height:.1pt;mso-position-horizontal-relative:page;mso-position-vertical-relative:paragraph;z-index:1120" coordorigin="3298,283" coordsize="2,2">
            <v:shape style="position:absolute;left:3298;top:283;width:2;height:2" coordorigin="3298,283" coordsize="0,0" path="m3298,283l3298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42.7323pt;margin-top:25.647329pt;width:.1pt;height:.1pt;mso-position-horizontal-relative:page;mso-position-vertical-relative:paragraph;z-index:-3808" coordorigin="855,513" coordsize="2,2">
            <v:shape style="position:absolute;left:855;top:513;width:2;height:2" coordorigin="855,513" coordsize="0,0" path="m855,513l855,51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64.905304pt;margin-top:25.647329pt;width:.1pt;height:.1pt;mso-position-horizontal-relative:page;mso-position-vertical-relative:paragraph;z-index:1168" coordorigin="3298,513" coordsize="2,2">
            <v:shape style="position:absolute;left:3298;top:513;width:2;height:2" coordorigin="3298,513" coordsize="0,0" path="m3298,513l3298,51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 w:hAnsi="Theinhardt Black"/>
          <w:b/>
          <w:color w:val="231F20"/>
          <w:spacing w:val="-1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B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5"/>
          <w:sz w:val="18"/>
        </w:rPr>
        <w:t> </w:t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PlusEnergieBauten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PlusEnergieBau</w:t>
      </w:r>
      <w:r>
        <w:rPr>
          <w:rFonts w:ascii="Theinhardt Regular" w:hAnsi="Theinhardt Regular"/>
          <w:color w:val="231F20"/>
          <w:spacing w:val="-1"/>
          <w:position w:val="6"/>
          <w:sz w:val="10"/>
        </w:rPr>
        <w:t>®</w:t>
      </w:r>
      <w:r>
        <w:rPr>
          <w:rFonts w:ascii="Theinhardt Regular" w:hAnsi="Theinhardt Regular"/>
          <w:color w:val="231F20"/>
          <w:spacing w:val="-1"/>
          <w:sz w:val="18"/>
        </w:rPr>
        <w:t>-Diplom</w:t>
      </w:r>
      <w:r>
        <w:rPr>
          <w:rFonts w:ascii="Theinhardt Regular" w:hAnsi="Theinhardt Regular"/>
          <w:color w:val="231F20"/>
          <w:spacing w:val="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2015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38"/>
        <w:ind w:left="110" w:right="117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La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casa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plurifamiliare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per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7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famiglie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é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ubicata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al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margine meridionale del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centro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abitato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Cad-</w:t>
      </w:r>
      <w:r>
        <w:rPr>
          <w:rFonts w:ascii="Theinhardt Bold" w:hAnsi="Theinhardt Bold" w:cs="Theinhardt Bold" w:eastAsia="Theinhardt Bold"/>
          <w:b/>
          <w:bCs/>
          <w:color w:val="231F20"/>
          <w:spacing w:val="7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ro-Lugano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nel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Canton</w:t>
      </w:r>
      <w:r>
        <w:rPr>
          <w:rFonts w:ascii="Theinhardt Bold" w:hAnsi="Theinhardt Bold" w:cs="Theinhardt Bold" w:eastAsia="Theinhardt Bold"/>
          <w:b/>
          <w:bCs/>
          <w:color w:val="231F20"/>
          <w:spacing w:val="-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Ticino.</w:t>
      </w:r>
      <w:r>
        <w:rPr>
          <w:rFonts w:ascii="Theinhardt Bold" w:hAnsi="Theinhardt Bold" w:cs="Theinhardt Bold" w:eastAsia="Theinhardt Bold"/>
          <w:b/>
          <w:bCs/>
          <w:color w:val="231F20"/>
          <w:spacing w:val="-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Grazie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all’isolamento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termico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maggiorato,</w:t>
      </w:r>
      <w:r>
        <w:rPr>
          <w:rFonts w:ascii="Theinhardt Bold" w:hAnsi="Theinhardt Bold" w:cs="Theinhardt Bold" w:eastAsia="Theinhardt Bold"/>
          <w:b/>
          <w:bCs/>
          <w:color w:val="231F20"/>
          <w:spacing w:val="-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consumi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minimizzati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per</w:t>
      </w:r>
      <w:r>
        <w:rPr>
          <w:rFonts w:ascii="Theinhardt Bold" w:hAnsi="Theinhardt Bold" w:cs="Theinhardt Bold" w:eastAsia="Theinhardt Bold"/>
          <w:b/>
          <w:bCs/>
          <w:color w:val="231F20"/>
          <w:spacing w:val="4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elettrodomestici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illuminazione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artificiale,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la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nuova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costruzione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necessita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28’500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5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L’impianto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fotovoltaico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sul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lastrico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solare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orientato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sud,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con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29.4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potenza,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produce</w:t>
      </w:r>
      <w:r>
        <w:rPr>
          <w:rFonts w:ascii="Theinhardt Bold" w:hAnsi="Theinhardt Bold" w:cs="Theinhardt Bold" w:eastAsia="Theinhardt Bold"/>
          <w:b/>
          <w:bCs/>
          <w:color w:val="231F20"/>
          <w:spacing w:val="7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37’400</w:t>
      </w:r>
      <w:r>
        <w:rPr>
          <w:rFonts w:ascii="Theinhardt Bold" w:hAnsi="Theinhardt Bold" w:cs="Theinhardt Bold" w:eastAsia="Theinhardt Bold"/>
          <w:b/>
          <w:bCs/>
          <w:color w:val="231F20"/>
          <w:spacing w:val="-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</w:t>
      </w:r>
      <w:r>
        <w:rPr>
          <w:rFonts w:ascii="Theinhardt Bold" w:hAnsi="Theinhardt Bold" w:cs="Theinhardt Bold" w:eastAsia="Theinhardt Bold"/>
          <w:b/>
          <w:bCs/>
          <w:color w:val="231F20"/>
          <w:spacing w:val="-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annui.</w:t>
      </w:r>
      <w:r>
        <w:rPr>
          <w:rFonts w:ascii="Theinhardt Bold" w:hAnsi="Theinhardt Bold" w:cs="Theinhardt Bold" w:eastAsia="Theinhardt Bold"/>
          <w:b/>
          <w:bCs/>
          <w:color w:val="231F20"/>
          <w:spacing w:val="-2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L’edi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fi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cio</w:t>
      </w:r>
      <w:r>
        <w:rPr>
          <w:rFonts w:ascii="Theinhardt Bold" w:hAnsi="Theinhardt Bold" w:cs="Theinhardt Bold" w:eastAsia="Theinhardt Bold"/>
          <w:b/>
          <w:bCs/>
          <w:color w:val="231F20"/>
          <w:spacing w:val="-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ha</w:t>
      </w:r>
      <w:r>
        <w:rPr>
          <w:rFonts w:ascii="Theinhardt Bold" w:hAnsi="Theinhardt Bold" w:cs="Theinhardt Bold" w:eastAsia="Theinhardt Bold"/>
          <w:b/>
          <w:bCs/>
          <w:color w:val="231F20"/>
          <w:spacing w:val="-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così</w:t>
      </w:r>
      <w:r>
        <w:rPr>
          <w:rFonts w:ascii="Theinhardt Bold" w:hAnsi="Theinhardt Bold" w:cs="Theinhardt Bold" w:eastAsia="Theinhardt Bold"/>
          <w:b/>
          <w:bCs/>
          <w:color w:val="231F20"/>
          <w:spacing w:val="-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un’autosuf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fi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cienza</w:t>
      </w:r>
      <w:r>
        <w:rPr>
          <w:rFonts w:ascii="Theinhardt Bold" w:hAnsi="Theinhardt Bold" w:cs="Theinhardt Bold" w:eastAsia="Theinhardt Bold"/>
          <w:b/>
          <w:bCs/>
          <w:color w:val="231F20"/>
          <w:spacing w:val="-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energetica</w:t>
      </w:r>
      <w:r>
        <w:rPr>
          <w:rFonts w:ascii="Theinhardt Bold" w:hAnsi="Theinhardt Bold" w:cs="Theinhardt Bold" w:eastAsia="Theinhardt Bold"/>
          <w:b/>
          <w:bCs/>
          <w:color w:val="231F20"/>
          <w:spacing w:val="-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del</w:t>
      </w:r>
      <w:r>
        <w:rPr>
          <w:rFonts w:ascii="Theinhardt Bold" w:hAnsi="Theinhardt Bold" w:cs="Theinhardt Bold" w:eastAsia="Theinhardt Bold"/>
          <w:b/>
          <w:bCs/>
          <w:color w:val="231F20"/>
          <w:spacing w:val="-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131%.</w:t>
      </w:r>
      <w:r>
        <w:rPr>
          <w:rFonts w:ascii="Theinhardt Bold" w:hAnsi="Theinhardt Bold" w:cs="Theinhardt Bold" w:eastAsia="Theinhardt Bold"/>
          <w:b/>
          <w:bCs/>
          <w:color w:val="231F20"/>
          <w:spacing w:val="-2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Notevole</w:t>
      </w:r>
      <w:r>
        <w:rPr>
          <w:rFonts w:ascii="Theinhardt Bold" w:hAnsi="Theinhardt Bold" w:cs="Theinhardt Bold" w:eastAsia="Theinhardt Bold"/>
          <w:b/>
          <w:bCs/>
          <w:color w:val="231F20"/>
          <w:spacing w:val="-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è</w:t>
      </w:r>
      <w:r>
        <w:rPr>
          <w:rFonts w:ascii="Theinhardt Bold" w:hAnsi="Theinhardt Bold" w:cs="Theinhardt Bold" w:eastAsia="Theinhardt Bold"/>
          <w:b/>
          <w:bCs/>
          <w:color w:val="231F20"/>
          <w:spacing w:val="-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l’assenza</w:t>
      </w:r>
      <w:r>
        <w:rPr>
          <w:rFonts w:ascii="Theinhardt Bold" w:hAnsi="Theinhardt Bold" w:cs="Theinhardt Bold" w:eastAsia="Theinhardt Bold"/>
          <w:b/>
          <w:bCs/>
          <w:color w:val="231F20"/>
          <w:spacing w:val="7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riscaldamento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tradizionale,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al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quale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é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possibile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rinunciare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grazie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ad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una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facciata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alveolata,</w:t>
      </w:r>
      <w:r>
        <w:rPr>
          <w:rFonts w:ascii="Theinhardt Bold" w:hAnsi="Theinhardt Bold" w:cs="Theinhardt Bold" w:eastAsia="Theinhardt Bold"/>
          <w:b/>
          <w:bCs/>
          <w:color w:val="231F20"/>
          <w:spacing w:val="6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questa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sfrutta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raggi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infrarossi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per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fornire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calore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necessario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ai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locali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tutto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l’anno.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Una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piccola</w:t>
      </w:r>
      <w:r>
        <w:rPr>
          <w:rFonts w:ascii="Theinhardt Bold" w:hAnsi="Theinhardt Bold" w:cs="Theinhardt Bold" w:eastAsia="Theinhardt Bold"/>
          <w:b/>
          <w:bCs/>
          <w:color w:val="231F20"/>
          <w:spacing w:val="6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pompa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termica,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il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recupero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calore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dagli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scarichi,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oltre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agli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scaldaacqua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istantanei,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forniscono</w:t>
      </w:r>
      <w:r>
        <w:rPr>
          <w:rFonts w:ascii="Theinhardt Bold" w:hAnsi="Theinhardt Bold" w:cs="Theinhardt Bold" w:eastAsia="Theinhardt Bold"/>
          <w:b/>
          <w:bCs/>
          <w:color w:val="231F20"/>
          <w:spacing w:val="5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acqua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calda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tutto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lo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stabile.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Tutti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garage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sono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inoltre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provvisti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stazioni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ricarica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per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vei-</w:t>
      </w:r>
      <w:r>
        <w:rPr>
          <w:rFonts w:ascii="Theinhardt Bold" w:hAnsi="Theinhardt Bold" w:cs="Theinhardt Bold" w:eastAsia="Theinhardt Bold"/>
          <w:b/>
          <w:bCs/>
          <w:color w:val="231F20"/>
          <w:spacing w:val="6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coli elettrici.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740" w:right="440"/>
          <w:cols w:num="2" w:equalWidth="0">
            <w:col w:w="2550" w:space="129"/>
            <w:col w:w="805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27"/>
          <w:szCs w:val="27"/>
        </w:rPr>
      </w:pPr>
    </w:p>
    <w:p>
      <w:pPr>
        <w:spacing w:before="5"/>
        <w:ind w:left="110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z w:val="40"/>
        </w:rPr>
        <w:t>131%-PEB-MFH </w:t>
      </w:r>
      <w:r>
        <w:rPr>
          <w:rFonts w:ascii="Theinhardt Black"/>
          <w:b/>
          <w:color w:val="0067B1"/>
          <w:spacing w:val="3"/>
          <w:sz w:val="40"/>
        </w:rPr>
        <w:t>Borelli,</w:t>
      </w:r>
      <w:r>
        <w:rPr>
          <w:rFonts w:ascii="Theinhardt Black"/>
          <w:b/>
          <w:color w:val="0067B1"/>
          <w:sz w:val="40"/>
        </w:rPr>
        <w:t> 6965 Cadro-Lugano/TI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740" w:right="440"/>
        </w:sectPr>
      </w:pPr>
    </w:p>
    <w:p>
      <w:pPr>
        <w:pStyle w:val="BodyText"/>
        <w:spacing w:line="230" w:lineRule="exact" w:before="52"/>
        <w:ind w:right="0" w:firstLine="0"/>
        <w:jc w:val="both"/>
      </w:pPr>
      <w:r>
        <w:rPr>
          <w:color w:val="231F20"/>
        </w:rPr>
        <w:t>Der</w:t>
      </w:r>
      <w:r>
        <w:rPr>
          <w:color w:val="231F20"/>
          <w:spacing w:val="-10"/>
        </w:rPr>
        <w:t> </w:t>
      </w:r>
      <w:r>
        <w:rPr>
          <w:color w:val="231F20"/>
        </w:rPr>
        <w:t>Wunsch</w:t>
      </w:r>
      <w:r>
        <w:rPr>
          <w:color w:val="231F20"/>
          <w:spacing w:val="-10"/>
        </w:rPr>
        <w:t> </w:t>
      </w:r>
      <w:r>
        <w:rPr>
          <w:color w:val="231F20"/>
        </w:rPr>
        <w:t>der</w:t>
      </w:r>
      <w:r>
        <w:rPr>
          <w:color w:val="231F20"/>
          <w:spacing w:val="-10"/>
        </w:rPr>
        <w:t> </w:t>
      </w:r>
      <w:r>
        <w:rPr>
          <w:color w:val="231F20"/>
        </w:rPr>
        <w:t>Bauherrschaft,</w:t>
      </w:r>
      <w:r>
        <w:rPr>
          <w:color w:val="231F20"/>
          <w:spacing w:val="-10"/>
        </w:rPr>
        <w:t> </w:t>
      </w:r>
      <w:r>
        <w:rPr>
          <w:color w:val="231F20"/>
        </w:rPr>
        <w:t>ein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energie-</w:t>
      </w:r>
      <w:r>
        <w:rPr>
          <w:color w:val="231F20"/>
          <w:spacing w:val="27"/>
        </w:rPr>
        <w:t> </w:t>
      </w:r>
      <w:r>
        <w:rPr>
          <w:color w:val="231F20"/>
        </w:rPr>
        <w:t>sparendes</w:t>
      </w:r>
      <w:r>
        <w:rPr>
          <w:color w:val="231F20"/>
          <w:spacing w:val="10"/>
        </w:rPr>
        <w:t> </w:t>
      </w:r>
      <w:r>
        <w:rPr>
          <w:color w:val="231F20"/>
        </w:rPr>
        <w:t>Mehrfamilienhaus</w:t>
      </w:r>
      <w:r>
        <w:rPr>
          <w:color w:val="231F20"/>
          <w:spacing w:val="10"/>
        </w:rPr>
        <w:t> </w:t>
      </w:r>
      <w:r>
        <w:rPr>
          <w:color w:val="231F20"/>
        </w:rPr>
        <w:t>(MFH)</w:t>
      </w:r>
      <w:r>
        <w:rPr>
          <w:color w:val="231F20"/>
          <w:spacing w:val="10"/>
        </w:rPr>
        <w:t> </w:t>
      </w:r>
      <w:r>
        <w:rPr>
          <w:color w:val="231F20"/>
        </w:rPr>
        <w:t>mit</w:t>
      </w:r>
      <w:r>
        <w:rPr>
          <w:color w:val="231F20"/>
          <w:spacing w:val="26"/>
        </w:rPr>
        <w:t> </w:t>
      </w:r>
      <w:r>
        <w:rPr>
          <w:color w:val="231F20"/>
        </w:rPr>
        <w:t>grosszügigen,</w:t>
      </w:r>
      <w:r>
        <w:rPr>
          <w:color w:val="231F20"/>
          <w:spacing w:val="-5"/>
        </w:rPr>
        <w:t> </w:t>
      </w:r>
      <w:r>
        <w:rPr>
          <w:color w:val="231F20"/>
        </w:rPr>
        <w:t>hellen</w:t>
      </w:r>
      <w:r>
        <w:rPr>
          <w:color w:val="231F20"/>
          <w:spacing w:val="6"/>
        </w:rPr>
        <w:t> </w:t>
      </w:r>
      <w:r>
        <w:rPr>
          <w:color w:val="231F20"/>
        </w:rPr>
        <w:t>Wohnungen</w:t>
      </w:r>
      <w:r>
        <w:rPr>
          <w:color w:val="231F20"/>
          <w:spacing w:val="6"/>
        </w:rPr>
        <w:t> </w:t>
      </w:r>
      <w:r>
        <w:rPr>
          <w:color w:val="231F20"/>
        </w:rPr>
        <w:t>zu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erstel-</w:t>
      </w:r>
      <w:r>
        <w:rPr>
          <w:color w:val="231F20"/>
          <w:spacing w:val="26"/>
        </w:rPr>
        <w:t> </w:t>
      </w:r>
      <w:r>
        <w:rPr>
          <w:color w:val="231F20"/>
        </w:rPr>
        <w:t>len,</w:t>
      </w:r>
      <w:r>
        <w:rPr>
          <w:color w:val="231F20"/>
          <w:spacing w:val="43"/>
        </w:rPr>
        <w:t> </w:t>
      </w:r>
      <w:r>
        <w:rPr>
          <w:color w:val="231F20"/>
        </w:rPr>
        <w:t>nahmen</w:t>
      </w:r>
      <w:r>
        <w:rPr>
          <w:color w:val="231F20"/>
          <w:spacing w:val="44"/>
        </w:rPr>
        <w:t> </w:t>
      </w:r>
      <w:r>
        <w:rPr>
          <w:color w:val="231F20"/>
        </w:rPr>
        <w:t>die</w:t>
      </w:r>
      <w:r>
        <w:rPr>
          <w:color w:val="231F20"/>
          <w:spacing w:val="43"/>
        </w:rPr>
        <w:t> </w:t>
      </w:r>
      <w:r>
        <w:rPr>
          <w:color w:val="231F20"/>
        </w:rPr>
        <w:t>Architekten</w:t>
      </w:r>
      <w:r>
        <w:rPr>
          <w:color w:val="231F20"/>
          <w:spacing w:val="44"/>
        </w:rPr>
        <w:t> </w:t>
      </w:r>
      <w:r>
        <w:rPr>
          <w:color w:val="231F20"/>
        </w:rPr>
        <w:t>zum</w:t>
      </w:r>
      <w:r>
        <w:rPr>
          <w:color w:val="231F20"/>
          <w:spacing w:val="44"/>
        </w:rPr>
        <w:t> </w:t>
      </w:r>
      <w:r>
        <w:rPr>
          <w:color w:val="231F20"/>
        </w:rPr>
        <w:t>Anlass,</w:t>
      </w:r>
      <w:r>
        <w:rPr>
          <w:color w:val="231F20"/>
        </w:rPr>
        <w:t> das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Massivholz-Elementbauweise</w:t>
      </w:r>
      <w:r>
        <w:rPr>
          <w:color w:val="231F20"/>
          <w:spacing w:val="2"/>
        </w:rPr>
        <w:t> </w:t>
      </w:r>
      <w:r>
        <w:rPr>
          <w:color w:val="231F20"/>
        </w:rPr>
        <w:t>erstell-</w:t>
      </w:r>
      <w:r>
        <w:rPr>
          <w:color w:val="231F20"/>
        </w:rPr>
        <w:t> te</w:t>
      </w:r>
      <w:r>
        <w:rPr>
          <w:color w:val="231F20"/>
          <w:spacing w:val="-1"/>
        </w:rPr>
        <w:t> </w:t>
      </w:r>
      <w:r>
        <w:rPr>
          <w:color w:val="231F20"/>
        </w:rPr>
        <w:t>7-Familienhaus</w:t>
      </w:r>
      <w:r>
        <w:rPr>
          <w:color w:val="231F20"/>
          <w:spacing w:val="-1"/>
        </w:rPr>
        <w:t> </w:t>
      </w:r>
      <w:r>
        <w:rPr>
          <w:color w:val="231F20"/>
        </w:rPr>
        <w:t>als</w:t>
      </w:r>
      <w:r>
        <w:rPr>
          <w:color w:val="231F20"/>
          <w:spacing w:val="-1"/>
        </w:rPr>
        <w:t> </w:t>
      </w:r>
      <w:r>
        <w:rPr>
          <w:color w:val="231F20"/>
        </w:rPr>
        <w:t>energetisch</w:t>
      </w:r>
      <w:r>
        <w:rPr>
          <w:color w:val="231F20"/>
          <w:spacing w:val="-1"/>
        </w:rPr>
        <w:t> </w:t>
      </w:r>
      <w:r>
        <w:rPr>
          <w:color w:val="231F20"/>
        </w:rPr>
        <w:t>praktisch</w:t>
      </w:r>
      <w:r>
        <w:rPr>
          <w:color w:val="231F20"/>
        </w:rPr>
        <w:t> </w:t>
      </w:r>
      <w:r>
        <w:rPr>
          <w:color w:val="231F20"/>
          <w:spacing w:val="-2"/>
        </w:rPr>
        <w:t>autonomes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Gebäude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zu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realisieren.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Es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kommt </w:t>
      </w:r>
      <w:r>
        <w:rPr>
          <w:color w:val="231F20"/>
        </w:rPr>
        <w:t>mit wenig elektronischer </w:t>
      </w:r>
      <w:r>
        <w:rPr>
          <w:color w:val="231F20"/>
          <w:spacing w:val="-1"/>
        </w:rPr>
        <w:t>Regeltech-</w:t>
      </w:r>
      <w:r>
        <w:rPr>
          <w:color w:val="231F20"/>
          <w:spacing w:val="23"/>
        </w:rPr>
        <w:t> </w:t>
      </w:r>
      <w:r>
        <w:rPr>
          <w:color w:val="231F20"/>
        </w:rPr>
        <w:t>nik</w:t>
      </w:r>
      <w:r>
        <w:rPr>
          <w:color w:val="231F20"/>
          <w:spacing w:val="26"/>
        </w:rPr>
        <w:t> </w:t>
      </w:r>
      <w:r>
        <w:rPr>
          <w:color w:val="231F20"/>
        </w:rPr>
        <w:t>und</w:t>
      </w:r>
      <w:r>
        <w:rPr>
          <w:color w:val="231F20"/>
          <w:spacing w:val="27"/>
        </w:rPr>
        <w:t> </w:t>
      </w:r>
      <w:r>
        <w:rPr>
          <w:color w:val="231F20"/>
        </w:rPr>
        <w:t>ohne</w:t>
      </w:r>
      <w:r>
        <w:rPr>
          <w:color w:val="231F20"/>
          <w:spacing w:val="26"/>
        </w:rPr>
        <w:t> </w:t>
      </w:r>
      <w:r>
        <w:rPr>
          <w:color w:val="231F20"/>
        </w:rPr>
        <w:t>traditionelle</w:t>
      </w:r>
      <w:r>
        <w:rPr>
          <w:color w:val="231F20"/>
          <w:spacing w:val="27"/>
        </w:rPr>
        <w:t> </w:t>
      </w:r>
      <w:r>
        <w:rPr>
          <w:color w:val="231F20"/>
        </w:rPr>
        <w:t>Heizungsanlage</w:t>
      </w:r>
      <w:r>
        <w:rPr>
          <w:color w:val="231F20"/>
        </w:rPr>
        <w:t> aus.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  <w:spacing w:val="-1"/>
        </w:rPr>
        <w:t>Südseitige,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grosse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Balkone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beschatten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im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Sommer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raumgrossen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Verglasungen,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wobei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letztere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im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Winter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Sonnenein-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strahlung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als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Wärme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Gebäudeinnere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ab-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geben.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Dort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sorgt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Komfortlüftung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für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gleichmässige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Wärmeverteilung.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restli-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chen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drei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Fassaden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sind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einer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speziellen,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hinter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Glas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liegenden,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Waben-Verkleidung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ausgestattet.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Sie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hilft,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Infrarotstrahlen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ins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Gebäudeinnere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zu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führen.</w:t>
      </w:r>
      <w:r>
        <w:rPr/>
      </w:r>
    </w:p>
    <w:p>
      <w:pPr>
        <w:pStyle w:val="BodyText"/>
        <w:spacing w:line="230" w:lineRule="exact" w:before="52"/>
        <w:ind w:right="0"/>
        <w:jc w:val="both"/>
      </w:pPr>
      <w:r>
        <w:rPr/>
        <w:br w:type="column"/>
      </w:r>
      <w:r>
        <w:rPr>
          <w:color w:val="231F20"/>
        </w:rPr>
        <w:t>Die</w:t>
      </w:r>
      <w:r>
        <w:rPr>
          <w:color w:val="231F20"/>
          <w:spacing w:val="22"/>
        </w:rPr>
        <w:t> </w:t>
      </w:r>
      <w:r>
        <w:rPr>
          <w:color w:val="231F20"/>
        </w:rPr>
        <w:t>extrem</w:t>
      </w:r>
      <w:r>
        <w:rPr>
          <w:color w:val="231F20"/>
          <w:spacing w:val="22"/>
        </w:rPr>
        <w:t> </w:t>
      </w:r>
      <w:r>
        <w:rPr>
          <w:color w:val="231F20"/>
        </w:rPr>
        <w:t>flache</w:t>
      </w:r>
      <w:r>
        <w:rPr>
          <w:color w:val="231F20"/>
          <w:spacing w:val="22"/>
        </w:rPr>
        <w:t> </w:t>
      </w:r>
      <w:r>
        <w:rPr>
          <w:color w:val="231F20"/>
        </w:rPr>
        <w:t>Amplitudenkurve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ver-</w:t>
      </w:r>
      <w:r>
        <w:rPr>
          <w:color w:val="231F20"/>
          <w:spacing w:val="23"/>
        </w:rPr>
        <w:t> </w:t>
      </w:r>
      <w:r>
        <w:rPr>
          <w:color w:val="231F20"/>
        </w:rPr>
        <w:t>hindert</w:t>
      </w:r>
      <w:r>
        <w:rPr>
          <w:color w:val="231F20"/>
          <w:spacing w:val="31"/>
        </w:rPr>
        <w:t> </w:t>
      </w:r>
      <w:r>
        <w:rPr>
          <w:color w:val="231F20"/>
        </w:rPr>
        <w:t>eine</w:t>
      </w:r>
      <w:r>
        <w:rPr>
          <w:color w:val="231F20"/>
          <w:spacing w:val="32"/>
        </w:rPr>
        <w:t> </w:t>
      </w:r>
      <w:r>
        <w:rPr>
          <w:color w:val="231F20"/>
        </w:rPr>
        <w:t>Nachtabkühlung.</w:t>
      </w:r>
      <w:r>
        <w:rPr>
          <w:color w:val="231F20"/>
          <w:spacing w:val="31"/>
        </w:rPr>
        <w:t> </w:t>
      </w:r>
      <w:r>
        <w:rPr>
          <w:color w:val="231F20"/>
        </w:rPr>
        <w:t>Im</w:t>
      </w:r>
      <w:r>
        <w:rPr>
          <w:color w:val="231F20"/>
          <w:spacing w:val="32"/>
        </w:rPr>
        <w:t> </w:t>
      </w:r>
      <w:r>
        <w:rPr>
          <w:color w:val="231F20"/>
        </w:rPr>
        <w:t>Sommer</w:t>
      </w:r>
      <w:r>
        <w:rPr>
          <w:color w:val="231F20"/>
        </w:rPr>
        <w:t> verhindern</w:t>
      </w:r>
      <w:r>
        <w:rPr>
          <w:color w:val="231F20"/>
          <w:spacing w:val="7"/>
        </w:rPr>
        <w:t> </w:t>
      </w:r>
      <w:r>
        <w:rPr>
          <w:color w:val="231F20"/>
        </w:rPr>
        <w:t>die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tiefen</w:t>
      </w:r>
      <w:r>
        <w:rPr>
          <w:color w:val="231F20"/>
          <w:spacing w:val="7"/>
        </w:rPr>
        <w:t> </w:t>
      </w:r>
      <w:r>
        <w:rPr>
          <w:color w:val="231F20"/>
        </w:rPr>
        <w:t>Balkone</w:t>
      </w:r>
      <w:r>
        <w:rPr>
          <w:color w:val="231F20"/>
          <w:spacing w:val="7"/>
        </w:rPr>
        <w:t> </w:t>
      </w:r>
      <w:r>
        <w:rPr>
          <w:color w:val="231F20"/>
        </w:rPr>
        <w:t>eine</w:t>
      </w:r>
      <w:r>
        <w:rPr>
          <w:color w:val="231F20"/>
          <w:spacing w:val="7"/>
        </w:rPr>
        <w:t> </w:t>
      </w:r>
      <w:r>
        <w:rPr>
          <w:color w:val="231F20"/>
        </w:rPr>
        <w:t>Überhit-</w:t>
      </w:r>
      <w:r>
        <w:rPr>
          <w:color w:val="231F20"/>
          <w:spacing w:val="23"/>
        </w:rPr>
        <w:t> </w:t>
      </w:r>
      <w:r>
        <w:rPr>
          <w:color w:val="231F20"/>
        </w:rPr>
        <w:t>zung des Raumklimas.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</w:rPr>
        <w:t>Die</w:t>
      </w:r>
      <w:r>
        <w:rPr>
          <w:color w:val="231F20"/>
          <w:spacing w:val="42"/>
        </w:rPr>
        <w:t> </w:t>
      </w:r>
      <w:r>
        <w:rPr>
          <w:color w:val="231F20"/>
        </w:rPr>
        <w:t>nur</w:t>
      </w:r>
      <w:r>
        <w:rPr>
          <w:color w:val="231F20"/>
          <w:spacing w:val="43"/>
        </w:rPr>
        <w:t> </w:t>
      </w:r>
      <w:r>
        <w:rPr>
          <w:color w:val="231F20"/>
        </w:rPr>
        <w:t>tagsüber</w:t>
      </w:r>
      <w:r>
        <w:rPr>
          <w:color w:val="231F20"/>
          <w:spacing w:val="42"/>
        </w:rPr>
        <w:t> </w:t>
      </w:r>
      <w:r>
        <w:rPr>
          <w:color w:val="231F20"/>
        </w:rPr>
        <w:t>solarbetriebene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Wär-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mepumpe</w:t>
      </w:r>
      <w:r>
        <w:rPr>
          <w:color w:val="231F20"/>
          <w:spacing w:val="-9"/>
        </w:rPr>
        <w:t> </w:t>
      </w:r>
      <w:r>
        <w:rPr>
          <w:color w:val="231F20"/>
        </w:rPr>
        <w:t>liefert</w:t>
      </w:r>
      <w:r>
        <w:rPr>
          <w:color w:val="231F20"/>
          <w:spacing w:val="-9"/>
        </w:rPr>
        <w:t> </w:t>
      </w:r>
      <w:r>
        <w:rPr>
          <w:color w:val="231F20"/>
        </w:rPr>
        <w:t>zusammen</w:t>
      </w:r>
      <w:r>
        <w:rPr>
          <w:color w:val="231F20"/>
          <w:spacing w:val="-9"/>
        </w:rPr>
        <w:t> </w:t>
      </w:r>
      <w:r>
        <w:rPr>
          <w:color w:val="231F20"/>
        </w:rPr>
        <w:t>mit</w:t>
      </w:r>
      <w:r>
        <w:rPr>
          <w:color w:val="231F20"/>
          <w:spacing w:val="-9"/>
        </w:rPr>
        <w:t> </w:t>
      </w:r>
      <w:r>
        <w:rPr>
          <w:color w:val="231F20"/>
        </w:rPr>
        <w:t>der</w:t>
      </w:r>
      <w:r>
        <w:rPr>
          <w:color w:val="231F20"/>
          <w:spacing w:val="-9"/>
        </w:rPr>
        <w:t> </w:t>
      </w:r>
      <w:r>
        <w:rPr>
          <w:color w:val="231F20"/>
        </w:rPr>
        <w:t>Wärme-</w:t>
      </w:r>
      <w:r>
        <w:rPr>
          <w:color w:val="231F20"/>
          <w:spacing w:val="26"/>
        </w:rPr>
        <w:t> </w:t>
      </w:r>
      <w:r>
        <w:rPr>
          <w:color w:val="231F20"/>
        </w:rPr>
        <w:t>rückgewinnung</w:t>
      </w:r>
      <w:r>
        <w:rPr>
          <w:color w:val="231F20"/>
          <w:spacing w:val="-7"/>
        </w:rPr>
        <w:t> </w:t>
      </w:r>
      <w:r>
        <w:rPr>
          <w:color w:val="231F20"/>
        </w:rPr>
        <w:t>aus</w:t>
      </w:r>
      <w:r>
        <w:rPr>
          <w:color w:val="231F20"/>
          <w:spacing w:val="-7"/>
        </w:rPr>
        <w:t> </w:t>
      </w:r>
      <w:r>
        <w:rPr>
          <w:color w:val="231F20"/>
        </w:rPr>
        <w:t>dem</w:t>
      </w:r>
      <w:r>
        <w:rPr>
          <w:color w:val="231F20"/>
          <w:spacing w:val="-7"/>
        </w:rPr>
        <w:t> </w:t>
      </w:r>
      <w:r>
        <w:rPr>
          <w:color w:val="231F20"/>
        </w:rPr>
        <w:t>Abwasser</w:t>
      </w:r>
      <w:r>
        <w:rPr>
          <w:color w:val="231F20"/>
          <w:spacing w:val="-7"/>
        </w:rPr>
        <w:t> </w:t>
      </w:r>
      <w:r>
        <w:rPr>
          <w:color w:val="231F20"/>
        </w:rPr>
        <w:t>und</w:t>
      </w:r>
      <w:r>
        <w:rPr>
          <w:color w:val="231F20"/>
          <w:spacing w:val="-7"/>
        </w:rPr>
        <w:t> </w:t>
      </w:r>
      <w:r>
        <w:rPr>
          <w:color w:val="231F20"/>
        </w:rPr>
        <w:t>den</w:t>
      </w:r>
      <w:r>
        <w:rPr>
          <w:color w:val="231F20"/>
        </w:rPr>
        <w:t> dezentralen</w:t>
      </w:r>
      <w:r>
        <w:rPr>
          <w:color w:val="231F20"/>
          <w:spacing w:val="20"/>
        </w:rPr>
        <w:t> </w:t>
      </w:r>
      <w:r>
        <w:rPr>
          <w:color w:val="231F20"/>
        </w:rPr>
        <w:t>Elektrodurchlauferhitzern</w:t>
      </w:r>
      <w:r>
        <w:rPr>
          <w:color w:val="231F20"/>
          <w:spacing w:val="20"/>
        </w:rPr>
        <w:t> </w:t>
      </w:r>
      <w:r>
        <w:rPr>
          <w:color w:val="231F20"/>
        </w:rPr>
        <w:t>das</w:t>
      </w:r>
      <w:r>
        <w:rPr>
          <w:color w:val="231F20"/>
        </w:rPr>
        <w:t> Warmwasser.</w:t>
      </w:r>
      <w:r>
        <w:rPr>
          <w:color w:val="231F20"/>
          <w:spacing w:val="20"/>
        </w:rPr>
        <w:t> </w:t>
      </w:r>
      <w:r>
        <w:rPr>
          <w:color w:val="231F20"/>
        </w:rPr>
        <w:t>Die</w:t>
      </w:r>
      <w:r>
        <w:rPr>
          <w:color w:val="231F20"/>
          <w:spacing w:val="20"/>
        </w:rPr>
        <w:t> </w:t>
      </w:r>
      <w:r>
        <w:rPr>
          <w:color w:val="231F20"/>
        </w:rPr>
        <w:t>Garagen</w:t>
      </w:r>
      <w:r>
        <w:rPr>
          <w:color w:val="231F20"/>
          <w:spacing w:val="20"/>
        </w:rPr>
        <w:t> </w:t>
      </w:r>
      <w:r>
        <w:rPr>
          <w:color w:val="231F20"/>
        </w:rPr>
        <w:t>sind</w:t>
      </w:r>
      <w:r>
        <w:rPr>
          <w:color w:val="231F20"/>
          <w:spacing w:val="20"/>
        </w:rPr>
        <w:t> </w:t>
      </w:r>
      <w:r>
        <w:rPr>
          <w:color w:val="231F20"/>
        </w:rPr>
        <w:t>für</w:t>
      </w:r>
      <w:r>
        <w:rPr>
          <w:color w:val="231F20"/>
          <w:spacing w:val="20"/>
        </w:rPr>
        <w:t> </w:t>
      </w:r>
      <w:r>
        <w:rPr>
          <w:color w:val="231F20"/>
        </w:rPr>
        <w:t>die</w:t>
      </w:r>
      <w:r>
        <w:rPr>
          <w:color w:val="231F20"/>
          <w:spacing w:val="20"/>
        </w:rPr>
        <w:t> </w:t>
      </w:r>
      <w:r>
        <w:rPr>
          <w:color w:val="231F20"/>
        </w:rPr>
        <w:t>In-</w:t>
      </w:r>
      <w:r>
        <w:rPr>
          <w:color w:val="231F20"/>
        </w:rPr>
        <w:t> stallation</w:t>
      </w:r>
      <w:r>
        <w:rPr>
          <w:color w:val="231F20"/>
          <w:spacing w:val="2"/>
        </w:rPr>
        <w:t> </w:t>
      </w:r>
      <w:r>
        <w:rPr>
          <w:color w:val="231F20"/>
        </w:rPr>
        <w:t>der</w:t>
      </w:r>
      <w:r>
        <w:rPr>
          <w:color w:val="231F20"/>
          <w:spacing w:val="2"/>
        </w:rPr>
        <w:t> </w:t>
      </w:r>
      <w:r>
        <w:rPr>
          <w:color w:val="231F20"/>
        </w:rPr>
        <w:t>Ladestationen</w:t>
      </w:r>
      <w:r>
        <w:rPr>
          <w:color w:val="231F20"/>
          <w:spacing w:val="2"/>
        </w:rPr>
        <w:t> </w:t>
      </w:r>
      <w:r>
        <w:rPr>
          <w:color w:val="231F20"/>
        </w:rPr>
        <w:t>für</w:t>
      </w:r>
      <w:r>
        <w:rPr>
          <w:color w:val="231F20"/>
          <w:spacing w:val="2"/>
        </w:rPr>
        <w:t> </w:t>
      </w:r>
      <w:r>
        <w:rPr>
          <w:color w:val="231F20"/>
        </w:rPr>
        <w:t>Elektrofahr-</w:t>
      </w:r>
      <w:r>
        <w:rPr>
          <w:color w:val="231F20"/>
        </w:rPr>
        <w:t> zeuge</w:t>
      </w:r>
      <w:r>
        <w:rPr>
          <w:color w:val="231F20"/>
          <w:spacing w:val="31"/>
        </w:rPr>
        <w:t> </w:t>
      </w:r>
      <w:r>
        <w:rPr>
          <w:color w:val="231F20"/>
        </w:rPr>
        <w:t>vorbereitet.</w:t>
      </w:r>
      <w:r>
        <w:rPr>
          <w:color w:val="231F20"/>
          <w:spacing w:val="32"/>
        </w:rPr>
        <w:t> </w:t>
      </w:r>
      <w:r>
        <w:rPr>
          <w:color w:val="231F20"/>
        </w:rPr>
        <w:t>Auf</w:t>
      </w:r>
      <w:r>
        <w:rPr>
          <w:color w:val="231F20"/>
          <w:spacing w:val="31"/>
        </w:rPr>
        <w:t> </w:t>
      </w:r>
      <w:r>
        <w:rPr>
          <w:color w:val="231F20"/>
        </w:rPr>
        <w:t>dem</w:t>
      </w:r>
      <w:r>
        <w:rPr>
          <w:color w:val="231F20"/>
          <w:spacing w:val="32"/>
        </w:rPr>
        <w:t> </w:t>
      </w:r>
      <w:r>
        <w:rPr>
          <w:color w:val="231F20"/>
        </w:rPr>
        <w:t>Flachdach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er-</w:t>
      </w:r>
      <w:r>
        <w:rPr>
          <w:color w:val="231F20"/>
          <w:spacing w:val="22"/>
        </w:rPr>
        <w:t> </w:t>
      </w:r>
      <w:r>
        <w:rPr>
          <w:color w:val="231F20"/>
        </w:rPr>
        <w:t>zeugt</w:t>
      </w:r>
      <w:r>
        <w:rPr>
          <w:color w:val="231F20"/>
          <w:spacing w:val="-10"/>
        </w:rPr>
        <w:t> </w:t>
      </w:r>
      <w:r>
        <w:rPr>
          <w:color w:val="231F20"/>
        </w:rPr>
        <w:t>die</w:t>
      </w:r>
      <w:r>
        <w:rPr>
          <w:color w:val="231F20"/>
          <w:spacing w:val="-10"/>
        </w:rPr>
        <w:t> </w:t>
      </w:r>
      <w:r>
        <w:rPr>
          <w:color w:val="231F20"/>
        </w:rPr>
        <w:t>29.4</w:t>
      </w:r>
      <w:r>
        <w:rPr>
          <w:color w:val="231F20"/>
          <w:spacing w:val="-10"/>
        </w:rPr>
        <w:t> </w:t>
      </w:r>
      <w:r>
        <w:rPr>
          <w:color w:val="231F20"/>
        </w:rPr>
        <w:t>kW</w:t>
      </w:r>
      <w:r>
        <w:rPr>
          <w:color w:val="231F20"/>
          <w:spacing w:val="-10"/>
        </w:rPr>
        <w:t> </w:t>
      </w:r>
      <w:r>
        <w:rPr>
          <w:color w:val="231F20"/>
        </w:rPr>
        <w:t>starke</w:t>
      </w:r>
      <w:r>
        <w:rPr>
          <w:color w:val="231F20"/>
          <w:spacing w:val="-10"/>
        </w:rPr>
        <w:t> </w:t>
      </w:r>
      <w:r>
        <w:rPr>
          <w:color w:val="231F20"/>
        </w:rPr>
        <w:t>PV-Anlage</w:t>
      </w:r>
      <w:r>
        <w:rPr>
          <w:color w:val="231F20"/>
          <w:spacing w:val="-10"/>
        </w:rPr>
        <w:t> </w:t>
      </w:r>
      <w:r>
        <w:rPr>
          <w:color w:val="231F20"/>
        </w:rPr>
        <w:t>37’400</w:t>
      </w:r>
      <w:r>
        <w:rPr>
          <w:color w:val="231F20"/>
        </w:rPr>
        <w:t> kWh/a.</w:t>
      </w:r>
      <w:r>
        <w:rPr>
          <w:color w:val="231F20"/>
          <w:spacing w:val="20"/>
        </w:rPr>
        <w:t> </w:t>
      </w:r>
      <w:r>
        <w:rPr>
          <w:color w:val="231F20"/>
        </w:rPr>
        <w:t>Zum</w:t>
      </w:r>
      <w:r>
        <w:rPr>
          <w:color w:val="231F20"/>
          <w:spacing w:val="20"/>
        </w:rPr>
        <w:t> </w:t>
      </w:r>
      <w:r>
        <w:rPr>
          <w:color w:val="231F20"/>
        </w:rPr>
        <w:t>Gesamtenergiebedarf</w:t>
      </w:r>
      <w:r>
        <w:rPr>
          <w:color w:val="231F20"/>
          <w:spacing w:val="20"/>
        </w:rPr>
        <w:t> </w:t>
      </w:r>
      <w:r>
        <w:rPr>
          <w:color w:val="231F20"/>
        </w:rPr>
        <w:t>von</w:t>
      </w:r>
      <w:r>
        <w:rPr>
          <w:color w:val="231F20"/>
        </w:rPr>
        <w:t> 28’500</w:t>
      </w:r>
      <w:r>
        <w:rPr>
          <w:color w:val="231F20"/>
          <w:spacing w:val="17"/>
        </w:rPr>
        <w:t> </w:t>
      </w:r>
      <w:r>
        <w:rPr>
          <w:color w:val="231F20"/>
        </w:rPr>
        <w:t>kWh/a</w:t>
      </w:r>
      <w:r>
        <w:rPr>
          <w:color w:val="231F20"/>
          <w:spacing w:val="17"/>
        </w:rPr>
        <w:t> </w:t>
      </w:r>
      <w:r>
        <w:rPr>
          <w:color w:val="231F20"/>
        </w:rPr>
        <w:t>erzeugt</w:t>
      </w:r>
      <w:r>
        <w:rPr>
          <w:color w:val="231F20"/>
          <w:spacing w:val="17"/>
        </w:rPr>
        <w:t> </w:t>
      </w:r>
      <w:r>
        <w:rPr>
          <w:color w:val="231F20"/>
        </w:rPr>
        <w:t>sie</w:t>
      </w:r>
      <w:r>
        <w:rPr>
          <w:color w:val="231F20"/>
          <w:spacing w:val="17"/>
        </w:rPr>
        <w:t> </w:t>
      </w:r>
      <w:r>
        <w:rPr>
          <w:color w:val="231F20"/>
        </w:rPr>
        <w:t>noch</w:t>
      </w:r>
      <w:r>
        <w:rPr>
          <w:color w:val="231F20"/>
          <w:spacing w:val="17"/>
        </w:rPr>
        <w:t> </w:t>
      </w:r>
      <w:r>
        <w:rPr>
          <w:color w:val="231F20"/>
        </w:rPr>
        <w:t>einen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So-</w:t>
      </w:r>
      <w:r>
        <w:rPr>
          <w:color w:val="231F20"/>
          <w:spacing w:val="22"/>
        </w:rPr>
        <w:t> </w:t>
      </w:r>
      <w:r>
        <w:rPr>
          <w:color w:val="231F20"/>
        </w:rPr>
        <w:t>larstromüberschuss</w:t>
      </w:r>
      <w:r>
        <w:rPr>
          <w:color w:val="231F20"/>
          <w:spacing w:val="15"/>
        </w:rPr>
        <w:t> </w:t>
      </w:r>
      <w:r>
        <w:rPr>
          <w:color w:val="231F20"/>
        </w:rPr>
        <w:t>von</w:t>
      </w:r>
      <w:r>
        <w:rPr>
          <w:color w:val="231F20"/>
          <w:spacing w:val="15"/>
        </w:rPr>
        <w:t> </w:t>
      </w:r>
      <w:r>
        <w:rPr>
          <w:color w:val="231F20"/>
        </w:rPr>
        <w:t>8’950</w:t>
      </w:r>
      <w:r>
        <w:rPr>
          <w:color w:val="231F20"/>
          <w:spacing w:val="15"/>
        </w:rPr>
        <w:t> </w:t>
      </w:r>
      <w:r>
        <w:rPr>
          <w:color w:val="231F20"/>
        </w:rPr>
        <w:t>kWh/a.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Da-</w:t>
      </w:r>
      <w:r>
        <w:rPr>
          <w:color w:val="231F20"/>
          <w:spacing w:val="22"/>
        </w:rPr>
        <w:t> </w:t>
      </w:r>
      <w:r>
        <w:rPr>
          <w:color w:val="231F20"/>
        </w:rPr>
        <w:t>mit</w:t>
      </w:r>
      <w:r>
        <w:rPr>
          <w:color w:val="231F20"/>
          <w:spacing w:val="4"/>
        </w:rPr>
        <w:t> </w:t>
      </w:r>
      <w:r>
        <w:rPr>
          <w:color w:val="231F20"/>
        </w:rPr>
        <w:t>weist</w:t>
      </w:r>
      <w:r>
        <w:rPr>
          <w:color w:val="231F20"/>
          <w:spacing w:val="4"/>
        </w:rPr>
        <w:t> </w:t>
      </w:r>
      <w:r>
        <w:rPr>
          <w:color w:val="231F20"/>
        </w:rPr>
        <w:t>das</w:t>
      </w:r>
      <w:r>
        <w:rPr>
          <w:color w:val="231F20"/>
          <w:spacing w:val="4"/>
        </w:rPr>
        <w:t> </w:t>
      </w:r>
      <w:r>
        <w:rPr>
          <w:color w:val="231F20"/>
        </w:rPr>
        <w:t>PEB-MFH</w:t>
      </w:r>
      <w:r>
        <w:rPr>
          <w:color w:val="231F20"/>
          <w:spacing w:val="4"/>
        </w:rPr>
        <w:t> </w:t>
      </w:r>
      <w:r>
        <w:rPr>
          <w:color w:val="231F20"/>
        </w:rPr>
        <w:t>eine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Eigenenergie-</w:t>
      </w:r>
      <w:r>
        <w:rPr>
          <w:color w:val="231F20"/>
          <w:spacing w:val="24"/>
        </w:rPr>
        <w:t> </w:t>
      </w:r>
      <w:r>
        <w:rPr>
          <w:color w:val="231F20"/>
        </w:rPr>
        <w:t>versorgung</w:t>
      </w:r>
      <w:r>
        <w:rPr>
          <w:color w:val="231F20"/>
          <w:spacing w:val="29"/>
        </w:rPr>
        <w:t> </w:t>
      </w:r>
      <w:r>
        <w:rPr>
          <w:color w:val="231F20"/>
        </w:rPr>
        <w:t>von</w:t>
      </w:r>
      <w:r>
        <w:rPr>
          <w:color w:val="231F20"/>
          <w:spacing w:val="30"/>
        </w:rPr>
        <w:t> </w:t>
      </w:r>
      <w:r>
        <w:rPr>
          <w:color w:val="231F20"/>
        </w:rPr>
        <w:t>131%</w:t>
      </w:r>
      <w:r>
        <w:rPr>
          <w:color w:val="231F20"/>
          <w:spacing w:val="29"/>
        </w:rPr>
        <w:t> </w:t>
      </w:r>
      <w:r>
        <w:rPr>
          <w:color w:val="231F20"/>
        </w:rPr>
        <w:t>auf</w:t>
      </w:r>
      <w:r>
        <w:rPr>
          <w:color w:val="231F20"/>
          <w:spacing w:val="30"/>
        </w:rPr>
        <w:t> </w:t>
      </w:r>
      <w:r>
        <w:rPr>
          <w:color w:val="231F20"/>
        </w:rPr>
        <w:t>und</w:t>
      </w:r>
      <w:r>
        <w:rPr>
          <w:color w:val="231F20"/>
          <w:spacing w:val="30"/>
        </w:rPr>
        <w:t> </w:t>
      </w:r>
      <w:r>
        <w:rPr>
          <w:color w:val="231F20"/>
        </w:rPr>
        <w:t>erhält</w:t>
      </w:r>
      <w:r>
        <w:rPr>
          <w:color w:val="231F20"/>
          <w:spacing w:val="29"/>
        </w:rPr>
        <w:t> </w:t>
      </w:r>
      <w:r>
        <w:rPr>
          <w:color w:val="231F20"/>
        </w:rPr>
        <w:t>das</w:t>
      </w:r>
      <w:r>
        <w:rPr>
          <w:color w:val="231F20"/>
        </w:rPr>
        <w:t> PlusEnergieBau-Diplom 2015.</w:t>
      </w:r>
      <w:r>
        <w:rPr/>
      </w:r>
    </w:p>
    <w:p>
      <w:pPr>
        <w:spacing w:before="73"/>
        <w:ind w:left="110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0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tabs>
          <w:tab w:pos="1030" w:val="left" w:leader="none"/>
          <w:tab w:pos="1717" w:val="left" w:leader="none"/>
          <w:tab w:pos="2497" w:val="left" w:leader="none"/>
        </w:tabs>
        <w:spacing w:line="160" w:lineRule="exact" w:before="74"/>
        <w:ind w:left="110" w:right="34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(Fassaden: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Waben-Verkleidung)</w:t>
      </w:r>
      <w:r>
        <w:rPr>
          <w:rFonts w:ascii="Theinhardt Regular" w:hAnsi="Theinhardt Regular"/>
          <w:color w:val="231F20"/>
          <w:spacing w:val="29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Wand:</w:t>
        <w:tab/>
      </w:r>
      <w:r>
        <w:rPr>
          <w:rFonts w:ascii="Theinhardt Regular" w:hAnsi="Theinhardt Regular"/>
          <w:color w:val="231F20"/>
          <w:spacing w:val="1"/>
          <w:sz w:val="14"/>
        </w:rPr>
        <w:t>50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 w:hAnsi="Theinhardt Regular"/>
          <w:color w:val="231F20"/>
          <w:spacing w:val="-5"/>
          <w:sz w:val="14"/>
        </w:rPr>
        <w:t>0.16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W/m</w:t>
      </w:r>
      <w:r>
        <w:rPr>
          <w:rFonts w:ascii="Theinhardt Regular" w:hAns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 w:hAnsi="Theinhardt Regular"/>
          <w:color w:val="231F20"/>
          <w:spacing w:val="-2"/>
          <w:sz w:val="14"/>
        </w:rPr>
        <w:t>K</w:t>
      </w:r>
      <w:r>
        <w:rPr>
          <w:rFonts w:ascii="Theinhardt Regular" w:hAnsi="Theinhardt Regular"/>
          <w:sz w:val="14"/>
        </w:rPr>
      </w:r>
    </w:p>
    <w:p>
      <w:pPr>
        <w:tabs>
          <w:tab w:pos="1717" w:val="left" w:leader="none"/>
          <w:tab w:pos="2476" w:val="left" w:leader="none"/>
        </w:tabs>
        <w:spacing w:line="165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Dach/Estrich:</w:t>
      </w:r>
      <w:r>
        <w:rPr>
          <w:rFonts w:ascii="Theinhardt Regular"/>
          <w:color w:val="231F20"/>
          <w:spacing w:val="26"/>
          <w:sz w:val="14"/>
        </w:rPr>
        <w:t> </w:t>
      </w:r>
      <w:r>
        <w:rPr>
          <w:rFonts w:ascii="Theinhardt Regular"/>
          <w:color w:val="231F20"/>
          <w:sz w:val="14"/>
        </w:rPr>
        <w:t>56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z w:val="14"/>
        </w:rPr>
        <w:t>0.09</w:t>
      </w:r>
      <w:r>
        <w:rPr>
          <w:rFonts w:ascii="Theinhardt Regular"/>
          <w:color w:val="231F20"/>
          <w:spacing w:val="1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030" w:val="left" w:leader="none"/>
          <w:tab w:pos="1717" w:val="left" w:leader="none"/>
          <w:tab w:pos="2499" w:val="left" w:leader="none"/>
        </w:tabs>
        <w:spacing w:line="207" w:lineRule="auto" w:before="5"/>
        <w:ind w:left="110" w:right="34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Boden:</w:t>
        <w:tab/>
      </w:r>
      <w:r>
        <w:rPr>
          <w:rFonts w:ascii="Theinhardt Regular"/>
          <w:color w:val="231F20"/>
          <w:sz w:val="14"/>
        </w:rPr>
        <w:t>56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pacing w:val="-5"/>
          <w:sz w:val="14"/>
        </w:rPr>
        <w:t>0.12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Fenster:</w:t>
        <w:tab/>
        <w:t>dreifach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  <w:tab/>
      </w:r>
      <w:r>
        <w:rPr>
          <w:rFonts w:ascii="Theinhardt Regular"/>
          <w:color w:val="231F20"/>
          <w:spacing w:val="-3"/>
          <w:sz w:val="14"/>
        </w:rPr>
        <w:t>0.7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spacing w:line="172" w:lineRule="exact" w:before="41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2"/>
          <w:sz w:val="14"/>
        </w:rPr>
        <w:t>ner</w:t>
      </w:r>
      <w:r>
        <w:rPr>
          <w:rFonts w:ascii="Theinhardt Bold"/>
          <w:b/>
          <w:color w:val="231F20"/>
          <w:spacing w:val="1"/>
          <w:sz w:val="14"/>
        </w:rPr>
        <w:t>g</w:t>
      </w:r>
      <w:r>
        <w:rPr>
          <w:rFonts w:ascii="Theinhardt Bold"/>
          <w:b/>
          <w:color w:val="231F20"/>
          <w:spacing w:val="2"/>
          <w:sz w:val="14"/>
        </w:rPr>
        <w:t>iebeda</w:t>
      </w:r>
      <w:r>
        <w:rPr>
          <w:rFonts w:ascii="Theinhardt Bold"/>
          <w:b/>
          <w:color w:val="231F20"/>
          <w:spacing w:val="4"/>
          <w:sz w:val="14"/>
        </w:rPr>
        <w:t>r</w:t>
      </w:r>
      <w:r>
        <w:rPr>
          <w:rFonts w:ascii="Theinhardt Bold"/>
          <w:b/>
          <w:color w:val="231F20"/>
          <w:sz w:val="14"/>
        </w:rPr>
        <w:t>f</w:t>
      </w:r>
      <w:r>
        <w:rPr>
          <w:rFonts w:ascii="Theinhardt Bold"/>
          <w:sz w:val="14"/>
        </w:rPr>
      </w:r>
    </w:p>
    <w:p>
      <w:pPr>
        <w:tabs>
          <w:tab w:pos="1623" w:val="left" w:leader="none"/>
          <w:tab w:pos="2422" w:val="left" w:leader="none"/>
          <w:tab w:pos="2827" w:val="left" w:leader="none"/>
        </w:tabs>
        <w:spacing w:line="160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EBF: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890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  <w:tab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  <w:tab/>
        <w:t>%</w:t>
        <w:tab/>
        <w:t>kWh/a</w:t>
      </w:r>
      <w:r>
        <w:rPr>
          <w:rFonts w:ascii="Theinhardt Regular"/>
          <w:sz w:val="14"/>
        </w:rPr>
      </w:r>
    </w:p>
    <w:p>
      <w:pPr>
        <w:tabs>
          <w:tab w:pos="2031" w:val="left" w:leader="none"/>
          <w:tab w:pos="2390" w:val="left" w:leader="none"/>
          <w:tab w:pos="2784" w:val="left" w:leader="none"/>
        </w:tabs>
        <w:spacing w:line="160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Wärmebedarf:</w:t>
        <w:tab/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15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w w:val="95"/>
          <w:sz w:val="14"/>
          <w:szCs w:val="14"/>
        </w:rPr>
        <w:t>47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13’350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035" w:val="left" w:leader="none"/>
          <w:tab w:pos="2798" w:val="left" w:leader="none"/>
        </w:tabs>
        <w:spacing w:line="160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Elektrizität:</w:t>
        <w:tab/>
      </w:r>
      <w:r>
        <w:rPr>
          <w:rFonts w:ascii="Theinhardt Regular" w:hAnsi="Theinhardt Regular" w:cs="Theinhardt Regular" w:eastAsia="Theinhardt Regular"/>
          <w:color w:val="231F20"/>
          <w:spacing w:val="-5"/>
          <w:sz w:val="14"/>
          <w:szCs w:val="14"/>
        </w:rPr>
        <w:t>17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 </w:t>
      </w:r>
      <w:r>
        <w:rPr>
          <w:rFonts w:ascii="Theinhardt Regular" w:hAnsi="Theinhardt Regular" w:cs="Theinhardt Regular" w:eastAsia="Theinhardt Regular"/>
          <w:color w:val="231F20"/>
          <w:spacing w:val="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53</w:t>
        <w:tab/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15’130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023" w:val="left" w:leader="none"/>
          <w:tab w:pos="2771" w:val="left" w:leader="none"/>
        </w:tabs>
        <w:spacing w:line="172" w:lineRule="exact" w:before="0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GesamtEB: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32  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28’480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5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1946" w:val="left" w:leader="none"/>
          <w:tab w:pos="2422" w:val="left" w:leader="none"/>
          <w:tab w:pos="2776" w:val="left" w:leader="none"/>
          <w:tab w:pos="2827" w:val="left" w:leader="none"/>
        </w:tabs>
        <w:spacing w:line="207" w:lineRule="auto" w:before="5"/>
        <w:ind w:left="110" w:right="349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Eigen-EV: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1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 </w:t>
      </w:r>
      <w:r>
        <w:rPr>
          <w:rFonts w:ascii="Theinhardt Regular" w:hAnsi="Theinhardt Regular" w:cs="Theinhardt Regular" w:eastAsia="Theinhardt Regular"/>
          <w:color w:val="231F20"/>
          <w:spacing w:val="20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 </w:t>
      </w:r>
      <w:r>
        <w:rPr>
          <w:rFonts w:ascii="Theinhardt Regular" w:hAnsi="Theinhardt Regular" w:cs="Theinhardt Regular" w:eastAsia="Theinhardt Regular"/>
          <w:color w:val="231F20"/>
          <w:spacing w:val="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Dach: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15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208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29.4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180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1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5"/>
          <w:sz w:val="14"/>
          <w:szCs w:val="14"/>
        </w:rPr>
        <w:t>131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37’431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22" w:val="left" w:leader="none"/>
          <w:tab w:pos="2827" w:val="left" w:leader="none"/>
        </w:tabs>
        <w:spacing w:line="172" w:lineRule="exact" w:before="41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308" w:val="left" w:leader="none"/>
          <w:tab w:pos="2776" w:val="left" w:leader="none"/>
        </w:tabs>
        <w:spacing w:line="160" w:lineRule="exact" w:before="0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w w:val="95"/>
          <w:sz w:val="14"/>
          <w:szCs w:val="14"/>
        </w:rPr>
        <w:t>131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37’431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302" w:val="left" w:leader="none"/>
          <w:tab w:pos="2771" w:val="left" w:leader="none"/>
        </w:tabs>
        <w:spacing w:line="160" w:lineRule="exact" w:before="0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28’480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387" w:val="left" w:leader="none"/>
          <w:tab w:pos="2855" w:val="left" w:leader="none"/>
        </w:tabs>
        <w:spacing w:line="172" w:lineRule="exact" w:before="0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31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8’951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43"/>
        <w:ind w:left="110" w:right="63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AIL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3"/>
          <w:sz w:val="14"/>
        </w:rPr>
        <w:t>16.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Juni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2015</w:t>
      </w:r>
      <w:r>
        <w:rPr>
          <w:rFonts w:ascii="Theinhardt Regular" w:hAnsi="Theinhardt Regular"/>
          <w:color w:val="231F20"/>
          <w:spacing w:val="27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Giampaolo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Mameli,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058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470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78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7"/>
          <w:sz w:val="14"/>
        </w:rPr>
        <w:t>11</w:t>
      </w:r>
      <w:r>
        <w:rPr>
          <w:rFonts w:ascii="Theinhardt Regular" w:hAnsi="Theinhardt Regular"/>
          <w:sz w:val="14"/>
        </w:rPr>
      </w: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1"/>
          <w:szCs w:val="11"/>
        </w:rPr>
      </w:pPr>
    </w:p>
    <w:p>
      <w:pPr>
        <w:spacing w:before="0"/>
        <w:ind w:left="110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2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</w:t>
      </w:r>
      <w:r>
        <w:rPr>
          <w:rFonts w:ascii="Theinhardt Black"/>
          <w:b/>
          <w:color w:val="231F20"/>
          <w:spacing w:val="2"/>
          <w:sz w:val="14"/>
        </w:rPr>
        <w:t>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0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Bauherrschaft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Standort: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0" w:right="88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Borelli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Marie-Therese</w:t>
      </w:r>
      <w:r>
        <w:rPr>
          <w:rFonts w:ascii="Theinhardt Regular"/>
          <w:color w:val="231F20"/>
          <w:sz w:val="14"/>
        </w:rPr>
        <w:t> e </w:t>
      </w:r>
      <w:r>
        <w:rPr>
          <w:rFonts w:ascii="Theinhardt Regular"/>
          <w:color w:val="231F20"/>
          <w:spacing w:val="1"/>
          <w:sz w:val="14"/>
        </w:rPr>
        <w:t>Anja,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Via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Novale</w:t>
      </w:r>
      <w:r>
        <w:rPr>
          <w:rFonts w:ascii="Theinhardt Regular"/>
          <w:color w:val="231F20"/>
          <w:sz w:val="14"/>
        </w:rPr>
        <w:t> 4</w:t>
      </w:r>
      <w:r>
        <w:rPr>
          <w:rFonts w:ascii="Theinhardt Regular"/>
          <w:color w:val="231F20"/>
          <w:spacing w:val="38"/>
          <w:sz w:val="14"/>
        </w:rPr>
        <w:t> </w:t>
      </w:r>
      <w:r>
        <w:rPr>
          <w:rFonts w:ascii="Theinhardt Regular"/>
          <w:color w:val="231F20"/>
          <w:sz w:val="14"/>
        </w:rPr>
        <w:t>6965 </w:t>
      </w:r>
      <w:r>
        <w:rPr>
          <w:rFonts w:ascii="Theinhardt Regular"/>
          <w:color w:val="231F20"/>
          <w:spacing w:val="2"/>
          <w:sz w:val="14"/>
        </w:rPr>
        <w:t>Cadro-Lugano/TI</w:t>
      </w:r>
      <w:r>
        <w:rPr>
          <w:rFonts w:ascii="Theinhardt Regular"/>
          <w:sz w:val="14"/>
        </w:rPr>
      </w:r>
    </w:p>
    <w:p>
      <w:pPr>
        <w:spacing w:line="172" w:lineRule="exact" w:before="41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Architektur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Bauleitung: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Bauer-Krieger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Architetti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3"/>
          <w:sz w:val="14"/>
          <w:szCs w:val="14"/>
        </w:rPr>
        <w:t>Piazza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Sant’Agata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1,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6965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Cadro-Lugano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172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091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943</w:t>
      </w:r>
      <w:r>
        <w:rPr>
          <w:rFonts w:ascii="Theinhardt Regular"/>
          <w:color w:val="231F20"/>
          <w:sz w:val="14"/>
        </w:rPr>
        <w:t> 49 </w:t>
      </w:r>
      <w:r>
        <w:rPr>
          <w:rFonts w:ascii="Theinhardt Regular"/>
          <w:color w:val="231F20"/>
          <w:spacing w:val="-1"/>
          <w:sz w:val="14"/>
        </w:rPr>
        <w:t>79</w:t>
      </w:r>
      <w:hyperlink r:id="rId5">
        <w:r>
          <w:rPr>
            <w:rFonts w:ascii="Theinhardt Regular"/>
            <w:color w:val="231F20"/>
            <w:spacing w:val="-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info@bauer-krieger.ch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5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Bauingenieur:</w:t>
      </w:r>
      <w:r>
        <w:rPr>
          <w:rFonts w:ascii="Theinhardt Bold"/>
          <w:sz w:val="14"/>
        </w:rPr>
      </w:r>
    </w:p>
    <w:p>
      <w:pPr>
        <w:spacing w:line="172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MPN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Ingegneria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SA,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via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della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Posta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16,</w:t>
      </w:r>
      <w:r>
        <w:rPr>
          <w:rFonts w:ascii="Theinhardt Regular"/>
          <w:color w:val="231F20"/>
          <w:sz w:val="14"/>
        </w:rPr>
        <w:t> 6934 </w:t>
      </w:r>
      <w:r>
        <w:rPr>
          <w:rFonts w:ascii="Theinhardt Regular"/>
          <w:color w:val="231F20"/>
          <w:spacing w:val="1"/>
          <w:sz w:val="14"/>
        </w:rPr>
        <w:t>Bioggio</w:t>
      </w:r>
      <w:r>
        <w:rPr>
          <w:rFonts w:ascii="Theinhardt Regular"/>
          <w:sz w:val="14"/>
        </w:rPr>
      </w:r>
    </w:p>
    <w:p>
      <w:pPr>
        <w:spacing w:line="172" w:lineRule="exact" w:before="35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Energietechnik:</w:t>
      </w:r>
      <w:r>
        <w:rPr>
          <w:rFonts w:ascii="Theinhardt Bold"/>
          <w:sz w:val="14"/>
        </w:rPr>
      </w:r>
    </w:p>
    <w:p>
      <w:pPr>
        <w:spacing w:line="172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Swissrenova</w:t>
      </w:r>
      <w:r>
        <w:rPr>
          <w:rFonts w:ascii="Theinhardt Regular" w:hAnsi="Theinhardt Regular"/>
          <w:color w:val="231F20"/>
          <w:sz w:val="14"/>
        </w:rPr>
        <w:t> AG, </w:t>
      </w:r>
      <w:r>
        <w:rPr>
          <w:rFonts w:ascii="Theinhardt Regular" w:hAnsi="Theinhardt Regular"/>
          <w:color w:val="231F20"/>
          <w:spacing w:val="3"/>
          <w:sz w:val="14"/>
        </w:rPr>
        <w:t>Dorfmattweg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8a,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6"/>
          <w:sz w:val="14"/>
        </w:rPr>
        <w:t>3110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Münsingen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35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Bauphysik:</w:t>
      </w:r>
      <w:r>
        <w:rPr>
          <w:rFonts w:ascii="Theinhardt Bold"/>
          <w:sz w:val="14"/>
        </w:rPr>
      </w:r>
    </w:p>
    <w:p>
      <w:pPr>
        <w:spacing w:line="172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Grolimund+Partner AG, </w:t>
      </w:r>
      <w:r>
        <w:rPr>
          <w:rFonts w:ascii="Theinhardt Regular"/>
          <w:color w:val="231F20"/>
          <w:spacing w:val="2"/>
          <w:sz w:val="14"/>
        </w:rPr>
        <w:t>Thunstrasse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101a,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3006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Bern</w:t>
      </w:r>
      <w:r>
        <w:rPr>
          <w:rFonts w:ascii="Theinhardt Regular"/>
          <w:sz w:val="14"/>
        </w:rPr>
      </w:r>
    </w:p>
    <w:p>
      <w:pPr>
        <w:spacing w:line="172" w:lineRule="exact" w:before="35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Holzbau:</w:t>
      </w:r>
      <w:r>
        <w:rPr>
          <w:rFonts w:ascii="Theinhardt Bold"/>
          <w:sz w:val="14"/>
        </w:rPr>
      </w:r>
    </w:p>
    <w:p>
      <w:pPr>
        <w:spacing w:line="172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Laube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SA,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Via</w:t>
      </w:r>
      <w:r>
        <w:rPr>
          <w:rFonts w:ascii="Theinhardt Regular"/>
          <w:color w:val="231F20"/>
          <w:sz w:val="14"/>
        </w:rPr>
        <w:t> Traversa 2, </w:t>
      </w:r>
      <w:r>
        <w:rPr>
          <w:rFonts w:ascii="Theinhardt Regular"/>
          <w:color w:val="231F20"/>
          <w:spacing w:val="-3"/>
          <w:sz w:val="14"/>
        </w:rPr>
        <w:t>6710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Biasca</w:t>
      </w:r>
      <w:r>
        <w:rPr>
          <w:rFonts w:ascii="Theinhardt Regular"/>
          <w:sz w:val="14"/>
        </w:rPr>
      </w:r>
    </w:p>
    <w:p>
      <w:pPr>
        <w:spacing w:after="0" w:line="172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740" w:right="440"/>
          <w:cols w:num="3" w:equalWidth="0">
            <w:col w:w="3456" w:space="116"/>
            <w:col w:w="3456" w:space="116"/>
            <w:col w:w="3586"/>
          </w:cols>
        </w:sectPr>
      </w:pPr>
    </w:p>
    <w:p>
      <w:pPr>
        <w:spacing w:line="240" w:lineRule="auto" w:before="10"/>
        <w:rPr>
          <w:rFonts w:ascii="Theinhardt Regular" w:hAnsi="Theinhardt Regular" w:cs="Theinhardt Regular" w:eastAsia="Theinhardt Regular"/>
          <w:sz w:val="2"/>
          <w:szCs w:val="2"/>
        </w:rPr>
      </w:pPr>
    </w:p>
    <w:p>
      <w:pPr>
        <w:spacing w:line="20" w:lineRule="atLeast"/>
        <w:ind w:left="7253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1"/>
          <w:szCs w:val="21"/>
        </w:rPr>
      </w:pPr>
    </w:p>
    <w:p>
      <w:pPr>
        <w:spacing w:line="200" w:lineRule="atLeast"/>
        <w:ind w:left="7259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2118230" cy="113385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230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tabs>
          <w:tab w:pos="7253" w:val="left" w:leader="none"/>
        </w:tabs>
        <w:spacing w:before="15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pict>
          <v:shape style="position:absolute;margin-left:42.52pt;margin-top:-226.846008pt;width:345.827pt;height:226.772pt;mso-position-horizontal-relative:page;mso-position-vertical-relative:paragraph;z-index:1192" type="#_x0000_t75" stroked="false">
            <v:imagedata r:id="rId7" o:title=""/>
          </v:shape>
        </w:pict>
      </w:r>
      <w:r>
        <w:rPr>
          <w:rFonts w:ascii="Theinhardt Bold"/>
          <w:b/>
          <w:color w:val="231F20"/>
          <w:sz w:val="14"/>
        </w:rPr>
        <w:t>1</w:t>
        <w:tab/>
        <w:t>2</w:t>
      </w:r>
      <w:r>
        <w:rPr>
          <w:rFonts w:ascii="Theinhardt Bold"/>
          <w:sz w:val="14"/>
        </w:rPr>
      </w:r>
    </w:p>
    <w:p>
      <w:pPr>
        <w:spacing w:line="240" w:lineRule="auto" w:before="2"/>
        <w:rPr>
          <w:rFonts w:ascii="Theinhardt Bold" w:hAnsi="Theinhardt Bold" w:cs="Theinhardt Bold" w:eastAsia="Theinhardt Bold"/>
          <w:b/>
          <w:bCs/>
          <w:sz w:val="12"/>
          <w:szCs w:val="12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12"/>
          <w:szCs w:val="12"/>
        </w:rPr>
        <w:sectPr>
          <w:type w:val="continuous"/>
          <w:pgSz w:w="11910" w:h="16840"/>
          <w:pgMar w:top="840" w:bottom="280" w:left="740" w:right="440"/>
        </w:sectPr>
      </w:pPr>
    </w:p>
    <w:p>
      <w:pPr>
        <w:numPr>
          <w:ilvl w:val="0"/>
          <w:numId w:val="1"/>
        </w:numPr>
        <w:tabs>
          <w:tab w:pos="344" w:val="left" w:leader="none"/>
        </w:tabs>
        <w:spacing w:line="160" w:lineRule="exact" w:before="76"/>
        <w:ind w:left="343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Das </w:t>
      </w:r>
      <w:r>
        <w:rPr>
          <w:rFonts w:ascii="Theinhardt Bold" w:hAnsi="Theinhardt Bold"/>
          <w:b/>
          <w:color w:val="231F20"/>
          <w:spacing w:val="-1"/>
          <w:sz w:val="14"/>
        </w:rPr>
        <w:t>7-Familienhaus</w:t>
      </w:r>
      <w:r>
        <w:rPr>
          <w:rFonts w:ascii="Theinhardt Bold" w:hAnsi="Theinhardt Bold"/>
          <w:b/>
          <w:color w:val="231F20"/>
          <w:sz w:val="14"/>
        </w:rPr>
        <w:t> mit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solaraktiven</w:t>
      </w:r>
      <w:r>
        <w:rPr>
          <w:rFonts w:ascii="Theinhardt Bold" w:hAnsi="Theinhardt Bold"/>
          <w:b/>
          <w:color w:val="231F20"/>
          <w:spacing w:val="36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Waben-Fassadenverkleidung</w:t>
      </w:r>
      <w:r>
        <w:rPr>
          <w:rFonts w:ascii="Theinhardt Bold" w:hAnsi="Theinhardt Bold"/>
          <w:b/>
          <w:color w:val="231F20"/>
          <w:sz w:val="14"/>
        </w:rPr>
        <w:t> und </w:t>
      </w:r>
      <w:r>
        <w:rPr>
          <w:rFonts w:ascii="Theinhardt Bold" w:hAnsi="Theinhardt Bold"/>
          <w:b/>
          <w:color w:val="231F20"/>
          <w:spacing w:val="-1"/>
          <w:sz w:val="14"/>
        </w:rPr>
        <w:t>den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raumho-</w:t>
      </w:r>
      <w:r>
        <w:rPr>
          <w:rFonts w:ascii="Theinhardt Bold" w:hAnsi="Theinhardt Bold"/>
          <w:b/>
          <w:color w:val="231F20"/>
          <w:spacing w:val="53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hen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Verglasungen</w:t>
      </w:r>
      <w:r>
        <w:rPr>
          <w:rFonts w:ascii="Theinhardt Bold" w:hAnsi="Theinhardt Bold"/>
          <w:b/>
          <w:color w:val="231F20"/>
          <w:sz w:val="14"/>
        </w:rPr>
        <w:t> auf </w:t>
      </w:r>
      <w:r>
        <w:rPr>
          <w:rFonts w:ascii="Theinhardt Bold" w:hAnsi="Theinhardt Bold"/>
          <w:b/>
          <w:color w:val="231F20"/>
          <w:spacing w:val="-1"/>
          <w:sz w:val="14"/>
        </w:rPr>
        <w:t>den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grosszügig</w:t>
      </w:r>
      <w:r>
        <w:rPr>
          <w:rFonts w:ascii="Theinhardt Bold" w:hAnsi="Theinhardt Bold"/>
          <w:b/>
          <w:color w:val="231F20"/>
          <w:sz w:val="14"/>
        </w:rPr>
        <w:t> gestalte-</w:t>
      </w:r>
      <w:r>
        <w:rPr>
          <w:rFonts w:ascii="Theinhardt Bold" w:hAnsi="Theinhardt Bold"/>
          <w:b/>
          <w:color w:val="231F20"/>
          <w:spacing w:val="3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ten </w:t>
      </w:r>
      <w:r>
        <w:rPr>
          <w:rFonts w:ascii="Theinhardt Bold" w:hAnsi="Theinhardt Bold"/>
          <w:b/>
          <w:color w:val="231F20"/>
          <w:spacing w:val="-1"/>
          <w:sz w:val="14"/>
        </w:rPr>
        <w:t>Balkonen.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44" w:val="left" w:leader="none"/>
        </w:tabs>
        <w:spacing w:line="160" w:lineRule="exact" w:before="76"/>
        <w:ind w:left="343" w:right="3918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Die 29 kW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PV-Flachdachanlage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produ-</w:t>
      </w:r>
      <w:r>
        <w:rPr>
          <w:rFonts w:ascii="Theinhardt Bold" w:hAnsi="Theinhardt Bold" w:cs="Theinhardt Bold" w:eastAsia="Theinhardt Bold"/>
          <w:b/>
          <w:bCs/>
          <w:color w:val="231F20"/>
          <w:spacing w:val="4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ziert mit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ihren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polykristallinen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Solarzellen</w:t>
      </w:r>
      <w:r>
        <w:rPr>
          <w:rFonts w:ascii="Theinhardt Bold" w:hAnsi="Theinhardt Bold" w:cs="Theinhardt Bold" w:eastAsia="Theinhardt Bold"/>
          <w:b/>
          <w:bCs/>
          <w:color w:val="231F20"/>
          <w:spacing w:val="3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37’400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und deckt 131% des Gesamt-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energiebedarfs.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40"/>
          <w:cols w:num="2" w:equalWidth="0">
            <w:col w:w="3349" w:space="216"/>
            <w:col w:w="7165"/>
          </w:cols>
        </w:sect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71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43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4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44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45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45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45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46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46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47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0" w:firstLine="22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info@bauer-krieger.ch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2015-09-02T11:56:41Z</dcterms:created>
  <dcterms:modified xsi:type="dcterms:W3CDTF">2015-09-02T11:56:41Z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2015-09-02T00:00:00Z</vt:filetime>
  </property>
  <property fmtid="{D5CDD505-2E9C-101B-9397-08002B2CF9AE}" pid="3" name="LastSaved">
    <vt:filetime>2015-09-02T00:00:00Z</vt:filetime>
  </property>
</Properties>
</file>