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32"/>
        <w:ind w:left="11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3.847228pt;width:.1pt;height:.1pt;mso-position-horizontal-relative:page;mso-position-vertical-relative:paragraph;z-index:-6064" coordorigin="855,277" coordsize="2,2">
            <v:shape style="position:absolute;left:855;top:277;width:2;height:2" coordorigin="855,277" coordsize="0,0" path="m855,277l855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304pt;margin-top:13.847228pt;width:.1pt;height:.1pt;mso-position-horizontal-relative:page;mso-position-vertical-relative:paragraph;z-index:1144" coordorigin="3298,277" coordsize="2,2">
            <v:shape style="position:absolute;left:3298;top:277;width:2;height:2" coordorigin="3298,277" coordsize="0,0" path="m3298,277l3298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42.7323pt;margin-top:25.347229pt;width:.1pt;height:.1pt;mso-position-horizontal-relative:page;mso-position-vertical-relative:paragraph;z-index:-6016" coordorigin="855,507" coordsize="2,2">
            <v:shape style="position:absolute;left:855;top:507;width:2;height:2" coordorigin="855,507" coordsize="0,0" path="m855,507l855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347229pt;width:.1pt;height:.1pt;mso-position-horizontal-relative:page;mso-position-vertical-relative:paragraph;z-index:1192" coordorigin="3298,507" coordsize="2,2">
            <v:shape style="position:absolute;left:3298;top:507;width:2;height:2" coordorigin="3298,507" coordsize="0,0" path="m3298,507l3298,50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PlusEnergieBau</w:t>
      </w:r>
      <w:r>
        <w:rPr>
          <w:rFonts w:ascii="Theinhardt Regular" w:hAnsi="Theinhardt Regular"/>
          <w:spacing w:val="-1"/>
          <w:position w:val="6"/>
          <w:sz w:val="10"/>
        </w:rPr>
        <w:t>®</w:t>
      </w:r>
      <w:r>
        <w:rPr>
          <w:rFonts w:ascii="Theinhardt Regular" w:hAnsi="Theinhardt Regular"/>
          <w:spacing w:val="-1"/>
          <w:sz w:val="18"/>
        </w:rPr>
        <w:t>-Diplom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2014</w:t>
      </w:r>
    </w:p>
    <w:p>
      <w:pPr>
        <w:spacing w:line="228" w:lineRule="auto" w:before="50"/>
        <w:ind w:left="110" w:right="10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Ost-West-Dach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2012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erstellten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Ersatzneubaus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Röthlisberger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Günsberg/SO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besteht</w:t>
      </w:r>
      <w:r>
        <w:rPr>
          <w:rFonts w:ascii="Theinhardt Bold" w:hAnsi="Theinhardt Bold" w:cs="Theinhardt Bold" w:eastAsia="Theinhardt Bold"/>
          <w:b/>
          <w:bCs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schönen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Solarzellen.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ganzflächige,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einwandfrei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monokristalline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19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kWp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PV-</w:t>
      </w:r>
      <w:r>
        <w:rPr>
          <w:rFonts w:ascii="Theinhardt Bold" w:hAnsi="Theinhardt Bold" w:cs="Theinhardt Bold" w:eastAsia="Theinhardt Bold"/>
          <w:b/>
          <w:bCs/>
          <w:spacing w:val="8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Anlage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15’100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kWh.</w:t>
      </w:r>
      <w:r>
        <w:rPr>
          <w:rFonts w:ascii="Theinhardt Bold" w:hAnsi="Theinhardt Bold" w:cs="Theinhardt Bold" w:eastAsia="Theinhardt Bold"/>
          <w:b/>
          <w:bCs/>
          <w:spacing w:val="-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gut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gedämmte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(EFH)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Ener-</w:t>
      </w:r>
      <w:r>
        <w:rPr>
          <w:rFonts w:ascii="Theinhardt Bold" w:hAnsi="Theinhardt Bold" w:cs="Theinhardt Bold" w:eastAsia="Theinhardt Bold"/>
          <w:b/>
          <w:bCs/>
          <w:spacing w:val="9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giebedarf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5’170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Daraus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resultiert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292%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6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PlusEnergieBau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(PEB).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9’940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kWh/a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speist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Rolf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Röth-</w:t>
      </w:r>
      <w:r>
        <w:rPr>
          <w:rFonts w:ascii="Theinhardt Bold" w:hAnsi="Theinhardt Bold" w:cs="Theinhardt Bold" w:eastAsia="Theinhardt Bold"/>
          <w:b/>
          <w:bCs/>
          <w:spacing w:val="9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lisberger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ins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öffentliche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Netz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ein.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diesem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könnte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Rolf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Röthlisberger</w:t>
      </w:r>
      <w:r>
        <w:rPr>
          <w:rFonts w:ascii="Theinhardt Bold" w:hAnsi="Theinhardt Bold" w:cs="Theinhardt Bold" w:eastAsia="Theinhardt Bold"/>
          <w:b/>
          <w:bCs/>
          <w:spacing w:val="6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zwei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vergleichbare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Häuser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spacing w:val="-1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-frei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versorgen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oder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Elektromobil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2.5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Mal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ganze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Welt</w:t>
      </w:r>
      <w:r>
        <w:rPr>
          <w:rFonts w:ascii="Theinhardt Bold" w:hAnsi="Theinhardt Bold" w:cs="Theinhardt Bold" w:eastAsia="Theinhardt Bold"/>
          <w:b/>
          <w:bCs/>
          <w:spacing w:val="9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umrunden.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28" w:lineRule="auto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740" w:right="460"/>
          <w:cols w:num="2" w:equalWidth="0">
            <w:col w:w="2550" w:space="12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4"/>
          <w:sz w:val="40"/>
        </w:rPr>
        <w:t>292%</w:t>
      </w:r>
      <w:r>
        <w:rPr>
          <w:rFonts w:ascii="Theinhardt Black" w:hAnsi="Theinhardt Black"/>
          <w:b/>
          <w:color w:val="0067B1"/>
          <w:spacing w:val="-1"/>
          <w:sz w:val="40"/>
        </w:rPr>
        <w:t>-</w:t>
      </w:r>
      <w:r>
        <w:rPr>
          <w:rFonts w:ascii="Theinhardt Black" w:hAnsi="Theinhardt Black"/>
          <w:b/>
          <w:color w:val="0067B1"/>
          <w:spacing w:val="-8"/>
          <w:sz w:val="40"/>
        </w:rPr>
        <w:t>P</w:t>
      </w:r>
      <w:r>
        <w:rPr>
          <w:rFonts w:ascii="Theinhardt Black" w:hAnsi="Theinhardt Black"/>
          <w:b/>
          <w:color w:val="0067B1"/>
          <w:spacing w:val="-6"/>
          <w:sz w:val="40"/>
        </w:rPr>
        <w:t>E</w:t>
      </w:r>
      <w:r>
        <w:rPr>
          <w:rFonts w:ascii="Theinhardt Black" w:hAnsi="Theinhardt Black"/>
          <w:b/>
          <w:color w:val="0067B1"/>
          <w:spacing w:val="-4"/>
          <w:sz w:val="40"/>
        </w:rPr>
        <w:t>B</w:t>
      </w:r>
      <w:r>
        <w:rPr>
          <w:rFonts w:ascii="Theinhardt Black" w:hAnsi="Theinhardt Black"/>
          <w:b/>
          <w:color w:val="0067B1"/>
          <w:sz w:val="40"/>
        </w:rPr>
        <w:t>-</w:t>
      </w:r>
      <w:r>
        <w:rPr>
          <w:rFonts w:ascii="Theinhardt Black" w:hAnsi="Theinhardt Black"/>
          <w:b/>
          <w:color w:val="0067B1"/>
          <w:spacing w:val="-6"/>
          <w:sz w:val="40"/>
        </w:rPr>
        <w:t>EF</w:t>
      </w:r>
      <w:r>
        <w:rPr>
          <w:rFonts w:ascii="Theinhardt Black" w:hAnsi="Theinhardt Black"/>
          <w:b/>
          <w:color w:val="0067B1"/>
          <w:sz w:val="40"/>
        </w:rPr>
        <w:t>H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3"/>
          <w:sz w:val="40"/>
        </w:rPr>
        <w:t>R</w:t>
      </w:r>
      <w:r>
        <w:rPr>
          <w:rFonts w:ascii="Theinhardt Black" w:hAnsi="Theinhardt Black"/>
          <w:b/>
          <w:color w:val="0067B1"/>
          <w:spacing w:val="6"/>
          <w:sz w:val="40"/>
        </w:rPr>
        <w:t>ö</w:t>
      </w:r>
      <w:r>
        <w:rPr>
          <w:rFonts w:ascii="Theinhardt Black" w:hAnsi="Theinhardt Black"/>
          <w:b/>
          <w:color w:val="0067B1"/>
          <w:sz w:val="40"/>
        </w:rPr>
        <w:t>t</w:t>
      </w:r>
      <w:r>
        <w:rPr>
          <w:rFonts w:ascii="Theinhardt Black" w:hAnsi="Theinhardt Black"/>
          <w:b/>
          <w:color w:val="0067B1"/>
          <w:spacing w:val="-2"/>
          <w:sz w:val="40"/>
        </w:rPr>
        <w:t>h</w:t>
      </w:r>
      <w:r>
        <w:rPr>
          <w:rFonts w:ascii="Theinhardt Black" w:hAnsi="Theinhardt Black"/>
          <w:b/>
          <w:color w:val="0067B1"/>
          <w:sz w:val="40"/>
        </w:rPr>
        <w:t>l</w:t>
      </w:r>
      <w:r>
        <w:rPr>
          <w:rFonts w:ascii="Theinhardt Black" w:hAnsi="Theinhardt Black"/>
          <w:b/>
          <w:color w:val="0067B1"/>
          <w:spacing w:val="3"/>
          <w:sz w:val="40"/>
        </w:rPr>
        <w:t>i</w:t>
      </w:r>
      <w:r>
        <w:rPr>
          <w:rFonts w:ascii="Theinhardt Black" w:hAnsi="Theinhardt Black"/>
          <w:b/>
          <w:color w:val="0067B1"/>
          <w:sz w:val="40"/>
        </w:rPr>
        <w:t>s</w:t>
      </w:r>
      <w:r>
        <w:rPr>
          <w:rFonts w:ascii="Theinhardt Black" w:hAnsi="Theinhardt Black"/>
          <w:b/>
          <w:color w:val="0067B1"/>
          <w:spacing w:val="2"/>
          <w:sz w:val="40"/>
        </w:rPr>
        <w:t>b</w:t>
      </w:r>
      <w:r>
        <w:rPr>
          <w:rFonts w:ascii="Theinhardt Black" w:hAnsi="Theinhardt Black"/>
          <w:b/>
          <w:color w:val="0067B1"/>
          <w:spacing w:val="-2"/>
          <w:sz w:val="40"/>
        </w:rPr>
        <w:t>e</w:t>
      </w:r>
      <w:r>
        <w:rPr>
          <w:rFonts w:ascii="Theinhardt Black" w:hAnsi="Theinhardt Black"/>
          <w:b/>
          <w:color w:val="0067B1"/>
          <w:spacing w:val="4"/>
          <w:sz w:val="40"/>
        </w:rPr>
        <w:t>r</w:t>
      </w:r>
      <w:r>
        <w:rPr>
          <w:rFonts w:ascii="Theinhardt Black" w:hAnsi="Theinhardt Black"/>
          <w:b/>
          <w:color w:val="0067B1"/>
          <w:spacing w:val="-2"/>
          <w:sz w:val="40"/>
        </w:rPr>
        <w:t>g</w:t>
      </w:r>
      <w:r>
        <w:rPr>
          <w:rFonts w:ascii="Theinhardt Black" w:hAnsi="Theinhardt Black"/>
          <w:b/>
          <w:color w:val="0067B1"/>
          <w:spacing w:val="-3"/>
          <w:sz w:val="40"/>
        </w:rPr>
        <w:t>e</w:t>
      </w:r>
      <w:r>
        <w:rPr>
          <w:rFonts w:ascii="Theinhardt Black" w:hAnsi="Theinhardt Black"/>
          <w:b/>
          <w:color w:val="0067B1"/>
          <w:spacing w:val="-28"/>
          <w:sz w:val="40"/>
        </w:rPr>
        <w:t>r</w:t>
      </w:r>
      <w:r>
        <w:rPr>
          <w:rFonts w:ascii="Theinhardt Black" w:hAnsi="Theinhardt Black"/>
          <w:b/>
          <w:color w:val="0067B1"/>
          <w:sz w:val="40"/>
        </w:rPr>
        <w:t>,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4"/>
          <w:sz w:val="40"/>
        </w:rPr>
        <w:t>452</w:t>
      </w:r>
      <w:r>
        <w:rPr>
          <w:rFonts w:ascii="Theinhardt Black" w:hAnsi="Theinhardt Black"/>
          <w:b/>
          <w:color w:val="0067B1"/>
          <w:sz w:val="40"/>
        </w:rPr>
        <w:t>4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3"/>
          <w:sz w:val="40"/>
        </w:rPr>
        <w:t>G</w:t>
      </w:r>
      <w:r>
        <w:rPr>
          <w:rFonts w:ascii="Theinhardt Black" w:hAnsi="Theinhardt Black"/>
          <w:b/>
          <w:color w:val="0067B1"/>
          <w:spacing w:val="-2"/>
          <w:sz w:val="40"/>
        </w:rPr>
        <w:t>ü</w:t>
      </w:r>
      <w:r>
        <w:rPr>
          <w:rFonts w:ascii="Theinhardt Black" w:hAnsi="Theinhardt Black"/>
          <w:b/>
          <w:color w:val="0067B1"/>
          <w:spacing w:val="2"/>
          <w:sz w:val="40"/>
        </w:rPr>
        <w:t>n</w:t>
      </w:r>
      <w:r>
        <w:rPr>
          <w:rFonts w:ascii="Theinhardt Black" w:hAnsi="Theinhardt Black"/>
          <w:b/>
          <w:color w:val="0067B1"/>
          <w:sz w:val="40"/>
        </w:rPr>
        <w:t>s</w:t>
      </w:r>
      <w:r>
        <w:rPr>
          <w:rFonts w:ascii="Theinhardt Black" w:hAnsi="Theinhardt Black"/>
          <w:b/>
          <w:color w:val="0067B1"/>
          <w:spacing w:val="2"/>
          <w:sz w:val="40"/>
        </w:rPr>
        <w:t>b</w:t>
      </w:r>
      <w:r>
        <w:rPr>
          <w:rFonts w:ascii="Theinhardt Black" w:hAnsi="Theinhardt Black"/>
          <w:b/>
          <w:color w:val="0067B1"/>
          <w:spacing w:val="-2"/>
          <w:sz w:val="40"/>
        </w:rPr>
        <w:t>e</w:t>
      </w:r>
      <w:r>
        <w:rPr>
          <w:rFonts w:ascii="Theinhardt Black" w:hAnsi="Theinhardt Black"/>
          <w:b/>
          <w:color w:val="0067B1"/>
          <w:spacing w:val="3"/>
          <w:sz w:val="40"/>
        </w:rPr>
        <w:t>r</w:t>
      </w:r>
      <w:r>
        <w:rPr>
          <w:rFonts w:ascii="Theinhardt Black" w:hAnsi="Theinhardt Black"/>
          <w:b/>
          <w:color w:val="0067B1"/>
          <w:spacing w:val="8"/>
          <w:sz w:val="40"/>
        </w:rPr>
        <w:t>g</w:t>
      </w:r>
      <w:r>
        <w:rPr>
          <w:rFonts w:ascii="Theinhardt Black" w:hAnsi="Theinhardt Black"/>
          <w:b/>
          <w:color w:val="0067B1"/>
          <w:spacing w:val="-8"/>
          <w:sz w:val="40"/>
        </w:rPr>
        <w:t>/</w:t>
      </w:r>
      <w:r>
        <w:rPr>
          <w:rFonts w:ascii="Theinhardt Black" w:hAnsi="Theinhardt Black"/>
          <w:b/>
          <w:color w:val="0067B1"/>
          <w:spacing w:val="-2"/>
          <w:sz w:val="40"/>
        </w:rPr>
        <w:t>S</w:t>
      </w:r>
      <w:r>
        <w:rPr>
          <w:rFonts w:ascii="Theinhardt Black" w:hAnsi="Theinhardt Black"/>
          <w:b/>
          <w:color w:val="0067B1"/>
          <w:sz w:val="40"/>
        </w:rPr>
        <w:t>O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60" w:bottom="280" w:left="740" w:right="46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spacing w:val="-1"/>
        </w:rPr>
        <w:t>Ursprünglich</w:t>
      </w:r>
      <w:r>
        <w:rPr>
          <w:spacing w:val="12"/>
        </w:rPr>
        <w:t> </w:t>
      </w:r>
      <w:r>
        <w:rPr/>
        <w:t>wollte</w:t>
      </w:r>
      <w:r>
        <w:rPr>
          <w:spacing w:val="12"/>
        </w:rPr>
        <w:t> </w:t>
      </w:r>
      <w:r>
        <w:rPr/>
        <w:t>Rolf</w:t>
      </w:r>
      <w:r>
        <w:rPr>
          <w:spacing w:val="12"/>
        </w:rPr>
        <w:t> </w:t>
      </w:r>
      <w:r>
        <w:rPr>
          <w:spacing w:val="-1"/>
        </w:rPr>
        <w:t>Röthlisberger</w:t>
      </w:r>
      <w:r>
        <w:rPr>
          <w:spacing w:val="12"/>
        </w:rPr>
        <w:t> </w:t>
      </w:r>
      <w:r>
        <w:rPr>
          <w:spacing w:val="-1"/>
        </w:rPr>
        <w:t>sein</w:t>
      </w:r>
      <w:r>
        <w:rPr>
          <w:spacing w:val="50"/>
        </w:rPr>
        <w:t> </w:t>
      </w:r>
      <w:r>
        <w:rPr/>
        <w:t>Elternhaus</w:t>
      </w:r>
      <w:r>
        <w:rPr>
          <w:spacing w:val="40"/>
        </w:rPr>
        <w:t> </w:t>
      </w:r>
      <w:r>
        <w:rPr/>
        <w:t>in</w:t>
      </w:r>
      <w:r>
        <w:rPr>
          <w:spacing w:val="41"/>
        </w:rPr>
        <w:t> </w:t>
      </w:r>
      <w:r>
        <w:rPr/>
        <w:t>Günsberg/SO</w:t>
      </w:r>
      <w:r>
        <w:rPr>
          <w:spacing w:val="40"/>
        </w:rPr>
        <w:t> </w:t>
      </w:r>
      <w:r>
        <w:rPr>
          <w:spacing w:val="-1"/>
        </w:rPr>
        <w:t>nur</w:t>
      </w:r>
      <w:r>
        <w:rPr>
          <w:spacing w:val="41"/>
        </w:rPr>
        <w:t> </w:t>
      </w:r>
      <w:r>
        <w:rPr>
          <w:spacing w:val="-1"/>
        </w:rPr>
        <w:t>sanieren.</w:t>
      </w:r>
      <w:r>
        <w:rPr>
          <w:spacing w:val="30"/>
        </w:rPr>
        <w:t> </w:t>
      </w:r>
      <w:r>
        <w:rPr/>
        <w:t>Sein</w:t>
      </w:r>
      <w:r>
        <w:rPr>
          <w:spacing w:val="9"/>
        </w:rPr>
        <w:t> </w:t>
      </w:r>
      <w:r>
        <w:rPr>
          <w:spacing w:val="-1"/>
        </w:rPr>
        <w:t>Architekt,</w:t>
      </w:r>
      <w:r>
        <w:rPr>
          <w:spacing w:val="47"/>
        </w:rPr>
        <w:t> </w:t>
      </w:r>
      <w:r>
        <w:rPr>
          <w:spacing w:val="-1"/>
        </w:rPr>
        <w:t>Eugen</w:t>
      </w:r>
      <w:r>
        <w:rPr>
          <w:spacing w:val="9"/>
        </w:rPr>
        <w:t> </w:t>
      </w:r>
      <w:r>
        <w:rPr>
          <w:spacing w:val="1"/>
        </w:rPr>
        <w:t>Elgart,</w:t>
      </w:r>
      <w:r>
        <w:rPr>
          <w:spacing w:val="48"/>
        </w:rPr>
        <w:t> </w:t>
      </w:r>
      <w:r>
        <w:rPr/>
        <w:t>überzeugte</w:t>
      </w:r>
      <w:r>
        <w:rPr>
          <w:spacing w:val="28"/>
        </w:rPr>
        <w:t> </w:t>
      </w:r>
      <w:r>
        <w:rPr/>
        <w:t>ihn,</w:t>
      </w:r>
      <w:r>
        <w:rPr>
          <w:spacing w:val="31"/>
        </w:rPr>
        <w:t> </w:t>
      </w:r>
      <w:r>
        <w:rPr/>
        <w:t>die</w:t>
      </w:r>
      <w:r>
        <w:rPr>
          <w:spacing w:val="43"/>
        </w:rPr>
        <w:t> </w:t>
      </w:r>
      <w:r>
        <w:rPr>
          <w:spacing w:val="-1"/>
        </w:rPr>
        <w:t>Sanierungspläne</w:t>
      </w:r>
      <w:r>
        <w:rPr>
          <w:spacing w:val="42"/>
        </w:rPr>
        <w:t> </w:t>
      </w:r>
      <w:r>
        <w:rPr/>
        <w:t>fallen</w:t>
      </w:r>
      <w:r>
        <w:rPr>
          <w:spacing w:val="43"/>
        </w:rPr>
        <w:t> </w:t>
      </w:r>
      <w:r>
        <w:rPr/>
        <w:t>zu</w:t>
      </w:r>
      <w:r>
        <w:rPr>
          <w:spacing w:val="43"/>
        </w:rPr>
        <w:t> </w:t>
      </w:r>
      <w:r>
        <w:rPr>
          <w:spacing w:val="-1"/>
        </w:rPr>
        <w:t>lassen</w:t>
      </w:r>
      <w:r>
        <w:rPr>
          <w:spacing w:val="38"/>
        </w:rPr>
        <w:t> </w:t>
      </w:r>
      <w:r>
        <w:rPr/>
        <w:t>und</w:t>
      </w:r>
      <w:r>
        <w:rPr>
          <w:spacing w:val="11"/>
        </w:rPr>
        <w:t> </w:t>
      </w:r>
      <w:r>
        <w:rPr/>
        <w:t>stattdessen</w:t>
      </w:r>
      <w:r>
        <w:rPr>
          <w:spacing w:val="11"/>
        </w:rPr>
        <w:t> </w:t>
      </w:r>
      <w:r>
        <w:rPr/>
        <w:t>einen</w:t>
      </w:r>
      <w:r>
        <w:rPr>
          <w:spacing w:val="11"/>
        </w:rPr>
        <w:t> </w:t>
      </w:r>
      <w:r>
        <w:rPr/>
        <w:t>Ersatzneubau</w:t>
      </w:r>
      <w:r>
        <w:rPr>
          <w:spacing w:val="11"/>
        </w:rPr>
        <w:t> </w:t>
      </w:r>
      <w:r>
        <w:rPr/>
        <w:t>zu</w:t>
      </w:r>
      <w:r>
        <w:rPr>
          <w:spacing w:val="11"/>
        </w:rPr>
        <w:t> </w:t>
      </w:r>
      <w:r>
        <w:rPr/>
        <w:t>er-</w:t>
      </w:r>
      <w:r>
        <w:rPr>
          <w:spacing w:val="29"/>
        </w:rPr>
        <w:t> </w:t>
      </w:r>
      <w:r>
        <w:rPr/>
        <w:t>richten.</w:t>
      </w:r>
      <w:r>
        <w:rPr>
          <w:spacing w:val="15"/>
        </w:rPr>
        <w:t> </w:t>
      </w:r>
      <w:r>
        <w:rPr/>
        <w:t>Der</w:t>
      </w:r>
      <w:r>
        <w:rPr>
          <w:spacing w:val="25"/>
        </w:rPr>
        <w:t> </w:t>
      </w:r>
      <w:r>
        <w:rPr>
          <w:spacing w:val="-1"/>
        </w:rPr>
        <w:t>Keller</w:t>
      </w:r>
      <w:r>
        <w:rPr>
          <w:spacing w:val="26"/>
        </w:rPr>
        <w:t> </w:t>
      </w:r>
      <w:r>
        <w:rPr/>
        <w:t>und</w:t>
      </w:r>
      <w:r>
        <w:rPr>
          <w:spacing w:val="25"/>
        </w:rPr>
        <w:t> </w:t>
      </w:r>
      <w:r>
        <w:rPr/>
        <w:t>die</w:t>
      </w:r>
      <w:r>
        <w:rPr>
          <w:spacing w:val="26"/>
        </w:rPr>
        <w:t> </w:t>
      </w:r>
      <w:r>
        <w:rPr/>
        <w:t>Umgebung</w:t>
      </w:r>
      <w:r>
        <w:rPr>
          <w:spacing w:val="26"/>
        </w:rPr>
        <w:t> </w:t>
      </w:r>
      <w:r>
        <w:rPr/>
        <w:t>als</w:t>
      </w:r>
      <w:r>
        <w:rPr>
          <w:spacing w:val="25"/>
        </w:rPr>
        <w:t> </w:t>
      </w:r>
      <w:r>
        <w:rPr>
          <w:spacing w:val="-1"/>
        </w:rPr>
        <w:t>energieintensive</w:t>
      </w:r>
      <w:r>
        <w:rPr>
          <w:spacing w:val="16"/>
        </w:rPr>
        <w:t> </w:t>
      </w:r>
      <w:r>
        <w:rPr/>
        <w:t>Bauteile</w:t>
      </w:r>
      <w:r>
        <w:rPr>
          <w:spacing w:val="16"/>
        </w:rPr>
        <w:t> </w:t>
      </w:r>
      <w:r>
        <w:rPr>
          <w:spacing w:val="-1"/>
        </w:rPr>
        <w:t>wurden</w:t>
      </w:r>
      <w:r>
        <w:rPr>
          <w:spacing w:val="16"/>
        </w:rPr>
        <w:t> </w:t>
      </w:r>
      <w:r>
        <w:rPr>
          <w:spacing w:val="-1"/>
        </w:rPr>
        <w:t>belassen</w:t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spacing w:val="-2"/>
        </w:rPr>
        <w:t>kWh/a.</w:t>
      </w:r>
      <w:r>
        <w:rPr>
          <w:spacing w:val="-20"/>
        </w:rPr>
        <w:t> </w:t>
      </w:r>
      <w:r>
        <w:rPr/>
        <w:t>Eine</w:t>
      </w:r>
      <w:r>
        <w:rPr>
          <w:spacing w:val="-9"/>
        </w:rPr>
        <w:t> </w:t>
      </w:r>
      <w:r>
        <w:rPr/>
        <w:t>mit</w:t>
      </w:r>
      <w:r>
        <w:rPr>
          <w:spacing w:val="-9"/>
        </w:rPr>
        <w:t> </w:t>
      </w:r>
      <w:r>
        <w:rPr>
          <w:spacing w:val="-1"/>
        </w:rPr>
        <w:t>Solarstrom</w:t>
      </w:r>
      <w:r>
        <w:rPr>
          <w:spacing w:val="-9"/>
        </w:rPr>
        <w:t> </w:t>
      </w:r>
      <w:r>
        <w:rPr/>
        <w:t>betriebene</w:t>
      </w:r>
      <w:r>
        <w:rPr>
          <w:spacing w:val="-9"/>
        </w:rPr>
        <w:t> </w:t>
      </w:r>
      <w:r>
        <w:rPr>
          <w:spacing w:val="-2"/>
        </w:rPr>
        <w:t>Wär-</w:t>
      </w:r>
      <w:r>
        <w:rPr>
          <w:spacing w:val="24"/>
        </w:rPr>
        <w:t> </w:t>
      </w:r>
      <w:r>
        <w:rPr>
          <w:spacing w:val="-1"/>
        </w:rPr>
        <w:t>mepumpe</w:t>
      </w:r>
      <w:r>
        <w:rPr>
          <w:spacing w:val="-2"/>
        </w:rPr>
        <w:t> </w:t>
      </w:r>
      <w:r>
        <w:rPr>
          <w:spacing w:val="-1"/>
        </w:rPr>
        <w:t>(WP)</w:t>
      </w:r>
      <w:r>
        <w:rPr>
          <w:spacing w:val="-2"/>
        </w:rPr>
        <w:t> </w:t>
      </w:r>
      <w:r>
        <w:rPr/>
        <w:t>deckt</w:t>
      </w:r>
      <w:r>
        <w:rPr>
          <w:spacing w:val="-2"/>
        </w:rPr>
        <w:t> </w:t>
      </w:r>
      <w:r>
        <w:rPr/>
        <w:t>den</w:t>
      </w:r>
      <w:r>
        <w:rPr>
          <w:spacing w:val="-2"/>
        </w:rPr>
        <w:t> </w:t>
      </w:r>
      <w:r>
        <w:rPr>
          <w:spacing w:val="-1"/>
        </w:rPr>
        <w:t>Wärmebedarf</w:t>
      </w:r>
      <w:r>
        <w:rPr>
          <w:spacing w:val="-2"/>
        </w:rPr>
        <w:t> </w:t>
      </w:r>
      <w:r>
        <w:rPr/>
        <w:t>für</w:t>
      </w:r>
      <w:r>
        <w:rPr>
          <w:spacing w:val="35"/>
        </w:rPr>
        <w:t> </w:t>
      </w:r>
      <w:r>
        <w:rPr/>
        <w:t>Heizung und </w:t>
      </w:r>
      <w:r>
        <w:rPr>
          <w:spacing w:val="-3"/>
        </w:rPr>
        <w:t>Warmwasser.</w:t>
      </w:r>
    </w:p>
    <w:p>
      <w:pPr>
        <w:pStyle w:val="BodyText"/>
        <w:spacing w:line="230" w:lineRule="exact"/>
        <w:ind w:right="0" w:firstLine="226"/>
        <w:jc w:val="both"/>
      </w:pPr>
      <w:r>
        <w:rPr>
          <w:spacing w:val="-2"/>
        </w:rPr>
        <w:t>Für</w:t>
      </w:r>
      <w:r>
        <w:rPr>
          <w:spacing w:val="-8"/>
        </w:rPr>
        <w:t> </w:t>
      </w:r>
      <w:r>
        <w:rPr/>
        <w:t>den</w:t>
      </w:r>
      <w:r>
        <w:rPr>
          <w:spacing w:val="-8"/>
        </w:rPr>
        <w:t> </w:t>
      </w:r>
      <w:r>
        <w:rPr>
          <w:spacing w:val="-1"/>
        </w:rPr>
        <w:t>Elektroingenieur</w:t>
      </w:r>
      <w:r>
        <w:rPr>
          <w:spacing w:val="-8"/>
        </w:rPr>
        <w:t> </w:t>
      </w:r>
      <w:r>
        <w:rPr/>
        <w:t>Rolf</w:t>
      </w:r>
      <w:r>
        <w:rPr>
          <w:spacing w:val="-8"/>
        </w:rPr>
        <w:t> </w:t>
      </w:r>
      <w:r>
        <w:rPr/>
        <w:t>Röthlisber-</w:t>
      </w:r>
      <w:r>
        <w:rPr>
          <w:spacing w:val="32"/>
        </w:rPr>
        <w:t> </w:t>
      </w:r>
      <w:r>
        <w:rPr/>
        <w:t>ger</w:t>
      </w:r>
      <w:r>
        <w:rPr>
          <w:spacing w:val="46"/>
        </w:rPr>
        <w:t> </w:t>
      </w:r>
      <w:r>
        <w:rPr>
          <w:spacing w:val="-1"/>
        </w:rPr>
        <w:t>war</w:t>
      </w:r>
      <w:r>
        <w:rPr>
          <w:spacing w:val="47"/>
        </w:rPr>
        <w:t> </w:t>
      </w:r>
      <w:r>
        <w:rPr/>
        <w:t>es</w:t>
      </w:r>
      <w:r>
        <w:rPr>
          <w:spacing w:val="46"/>
        </w:rPr>
        <w:t> </w:t>
      </w:r>
      <w:r>
        <w:rPr/>
        <w:t>naheliegend,</w:t>
      </w:r>
      <w:r>
        <w:rPr>
          <w:spacing w:val="36"/>
        </w:rPr>
        <w:t> </w:t>
      </w:r>
      <w:r>
        <w:rPr/>
        <w:t>dass</w:t>
      </w:r>
      <w:r>
        <w:rPr>
          <w:spacing w:val="47"/>
        </w:rPr>
        <w:t> </w:t>
      </w:r>
      <w:r>
        <w:rPr>
          <w:spacing w:val="-1"/>
        </w:rPr>
        <w:t>sein</w:t>
      </w:r>
      <w:r>
        <w:rPr>
          <w:spacing w:val="46"/>
        </w:rPr>
        <w:t> </w:t>
      </w:r>
      <w:r>
        <w:rPr/>
        <w:t>Dach</w:t>
      </w:r>
      <w:r>
        <w:rPr>
          <w:spacing w:val="27"/>
        </w:rPr>
        <w:t> </w:t>
      </w:r>
      <w:r>
        <w:rPr/>
        <w:t>nicht</w:t>
      </w:r>
      <w:r>
        <w:rPr>
          <w:spacing w:val="-9"/>
        </w:rPr>
        <w:t> </w:t>
      </w:r>
      <w:r>
        <w:rPr>
          <w:spacing w:val="-1"/>
        </w:rPr>
        <w:t>nur</w:t>
      </w:r>
      <w:r>
        <w:rPr>
          <w:spacing w:val="-9"/>
        </w:rPr>
        <w:t> </w:t>
      </w:r>
      <w:r>
        <w:rPr/>
        <w:t>vor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Witterung</w:t>
      </w:r>
      <w:r>
        <w:rPr>
          <w:spacing w:val="-9"/>
        </w:rPr>
        <w:t> </w:t>
      </w:r>
      <w:r>
        <w:rPr>
          <w:spacing w:val="1"/>
        </w:rPr>
        <w:t>schützt,</w:t>
      </w:r>
      <w:r>
        <w:rPr>
          <w:spacing w:val="-19"/>
        </w:rPr>
        <w:t> </w:t>
      </w:r>
      <w:r>
        <w:rPr>
          <w:spacing w:val="-1"/>
        </w:rPr>
        <w:t>sondern</w:t>
      </w:r>
      <w:r>
        <w:rPr>
          <w:spacing w:val="30"/>
        </w:rPr>
        <w:t> </w:t>
      </w:r>
      <w:r>
        <w:rPr/>
        <w:t>auch</w:t>
      </w:r>
      <w:r>
        <w:rPr>
          <w:spacing w:val="-13"/>
        </w:rPr>
        <w:t> </w:t>
      </w:r>
      <w:r>
        <w:rPr/>
        <w:t>Elektrizität</w:t>
      </w:r>
      <w:r>
        <w:rPr>
          <w:spacing w:val="-13"/>
        </w:rPr>
        <w:t> </w:t>
      </w:r>
      <w:r>
        <w:rPr/>
        <w:t>produziert.</w:t>
      </w:r>
      <w:r>
        <w:rPr>
          <w:spacing w:val="-23"/>
        </w:rPr>
        <w:t> </w:t>
      </w:r>
      <w:r>
        <w:rPr/>
        <w:t>Deshalb</w:t>
      </w:r>
      <w:r>
        <w:rPr>
          <w:spacing w:val="-13"/>
        </w:rPr>
        <w:t> </w:t>
      </w:r>
      <w:r>
        <w:rPr>
          <w:spacing w:val="-1"/>
        </w:rPr>
        <w:t>wurden</w:t>
      </w:r>
    </w:p>
    <w:p>
      <w:pPr>
        <w:spacing w:line="240" w:lineRule="auto" w:before="1"/>
        <w:rPr>
          <w:rFonts w:ascii="Theinhardt Regular" w:hAnsi="Theinhardt Regular" w:cs="Theinhardt Regular" w:eastAsia="Theinhardt Regular"/>
          <w:sz w:val="20"/>
          <w:szCs w:val="20"/>
        </w:rPr>
      </w:pPr>
      <w:r>
        <w:rPr/>
        <w:br w:type="column"/>
      </w:r>
      <w:r>
        <w:rPr>
          <w:rFonts w:ascii="Theinhardt Regular"/>
          <w:sz w:val="20"/>
        </w:rPr>
      </w:r>
    </w:p>
    <w:p>
      <w:pPr>
        <w:spacing w:line="20" w:lineRule="atLeast"/>
        <w:ind w:left="11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12"/>
          <w:szCs w:val="12"/>
        </w:rPr>
      </w:pPr>
    </w:p>
    <w:p>
      <w:pPr>
        <w:spacing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6.920105pt;margin-top:-70.351791pt;width:169.4pt;height:69.7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9"/>
                    <w:gridCol w:w="753"/>
                    <w:gridCol w:w="493"/>
                    <w:gridCol w:w="753"/>
                  </w:tblGrid>
                  <w:tr>
                    <w:trPr>
                      <w:trHeight w:val="296" w:hRule="exact"/>
                    </w:trPr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dotted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55" w:right="0"/>
                          <w:jc w:val="left"/>
                          <w:rPr>
                            <w:rFonts w:ascii="Theinhardt Black" w:hAnsi="Theinhardt Black" w:cs="Theinhardt Black" w:eastAsia="Theinhardt Black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lack"/>
                            <w:b/>
                            <w:sz w:val="14"/>
                          </w:rPr>
                          <w:t>Technische </w:t>
                        </w:r>
                        <w:r>
                          <w:rPr>
                            <w:rFonts w:ascii="Theinhardt Black"/>
                            <w:b/>
                            <w:spacing w:val="1"/>
                            <w:sz w:val="14"/>
                          </w:rPr>
                          <w:t>Daten</w:t>
                        </w:r>
                        <w:r>
                          <w:rPr>
                            <w:rFonts w:ascii="Theinhardt Black"/>
                            <w:sz w:val="14"/>
                          </w:rPr>
                        </w:r>
                      </w:p>
                    </w:tc>
                    <w:tc>
                      <w:tcPr>
                        <w:tcW w:w="199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dotted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1" w:hRule="exact"/>
                    </w:trPr>
                    <w:tc>
                      <w:tcPr>
                        <w:tcW w:w="1389" w:type="dxa"/>
                        <w:tcBorders>
                          <w:top w:val="dotted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90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3"/>
                            <w:sz w:val="14"/>
                          </w:rPr>
                          <w:t>E</w:t>
                        </w:r>
                        <w:r>
                          <w:rPr>
                            <w:rFonts w:ascii="Theinhardt Bold"/>
                            <w:b/>
                            <w:spacing w:val="2"/>
                            <w:sz w:val="14"/>
                          </w:rPr>
                          <w:t>ner</w:t>
                        </w: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g</w:t>
                        </w:r>
                        <w:r>
                          <w:rPr>
                            <w:rFonts w:ascii="Theinhardt Bold"/>
                            <w:b/>
                            <w:spacing w:val="2"/>
                            <w:sz w:val="14"/>
                          </w:rPr>
                          <w:t>iebeda</w:t>
                        </w:r>
                        <w:r>
                          <w:rPr>
                            <w:rFonts w:ascii="Theinhardt Bold"/>
                            <w:b/>
                            <w:spacing w:val="4"/>
                            <w:sz w:val="14"/>
                          </w:rPr>
                          <w:t>r</w:t>
                        </w: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f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EBF: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3"/>
                            <w:sz w:val="14"/>
                          </w:rPr>
                          <w:t>187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m</w:t>
                        </w:r>
                        <w:r>
                          <w:rPr>
                            <w:rFonts w:ascii="Theinhardt Regular"/>
                            <w:spacing w:val="-1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8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dotted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left"/>
                          <w:rPr>
                            <w:rFonts w:ascii="Theinhardt Heavy" w:hAnsi="Theinhardt Heavy" w:cs="Theinhardt Heavy" w:eastAsia="Theinhardt Heavy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7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kWh/m</w:t>
                        </w:r>
                        <w:r>
                          <w:rPr>
                            <w:rFonts w:ascii="Theinhardt Regular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tted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left"/>
                          <w:rPr>
                            <w:rFonts w:ascii="Theinhardt Heavy" w:hAnsi="Theinhardt Heavy" w:cs="Theinhardt Heavy" w:eastAsia="Theinhardt Heavy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22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dotted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left"/>
                          <w:rPr>
                            <w:rFonts w:ascii="Theinhardt Heavy" w:hAnsi="Theinhardt Heavy" w:cs="Theinhardt Heavy" w:eastAsia="Theinhardt Heavy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3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kWh/a</w:t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spacing w:val="2"/>
                            <w:sz w:val="14"/>
                          </w:rPr>
                          <w:t>Wärmebedarf: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36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2"/>
                            <w:sz w:val="14"/>
                          </w:rPr>
                          <w:t>15.9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9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2"/>
                            <w:sz w:val="14"/>
                          </w:rPr>
                          <w:t>57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7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4"/>
                            <w:szCs w:val="14"/>
                          </w:rPr>
                          <w:t>2’970</w:t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spacing w:val="2"/>
                            <w:sz w:val="14"/>
                          </w:rPr>
                          <w:t>Elektrizität: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37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5"/>
                            <w:sz w:val="14"/>
                          </w:rPr>
                          <w:t>11.8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8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2"/>
                            <w:sz w:val="14"/>
                          </w:rPr>
                          <w:t>4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8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pacing w:val="-2"/>
                            <w:sz w:val="14"/>
                            <w:szCs w:val="14"/>
                          </w:rPr>
                          <w:t>2’199</w:t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2"/>
                            <w:sz w:val="14"/>
                          </w:rPr>
                          <w:t>GesamtEB: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368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-4"/>
                            <w:sz w:val="14"/>
                          </w:rPr>
                          <w:t>27.7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0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68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5’169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8" w:lineRule="exact" w:before="8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Energieversorgung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/>
          <w:spacing w:val="1"/>
          <w:sz w:val="14"/>
        </w:rPr>
        <w:t>Eigen-EV: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33"/>
          <w:sz w:val="14"/>
        </w:rPr>
        <w:t> </w:t>
      </w:r>
      <w:r>
        <w:rPr>
          <w:rFonts w:ascii="Theinhardt Regular"/>
          <w:sz w:val="14"/>
        </w:rPr>
        <w:t>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spacing w:line="240" w:lineRule="auto" w:before="1"/>
        <w:rPr>
          <w:rFonts w:ascii="Theinhardt Regular" w:hAnsi="Theinhardt Regular" w:cs="Theinhardt Regular" w:eastAsia="Theinhardt Regular"/>
          <w:sz w:val="20"/>
          <w:szCs w:val="20"/>
        </w:rPr>
      </w:pPr>
      <w:r>
        <w:rPr/>
        <w:br w:type="column"/>
      </w:r>
      <w:r>
        <w:rPr>
          <w:rFonts w:ascii="Theinhardt Regular"/>
          <w:sz w:val="20"/>
        </w:rPr>
      </w:r>
    </w:p>
    <w:p>
      <w:pPr>
        <w:spacing w:line="20" w:lineRule="atLeast"/>
        <w:ind w:left="2415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12"/>
          <w:szCs w:val="12"/>
        </w:rPr>
      </w:pPr>
    </w:p>
    <w:p>
      <w:pPr>
        <w:tabs>
          <w:tab w:pos="1391" w:val="left" w:leader="none"/>
          <w:tab w:pos="1796" w:val="left" w:leader="none"/>
        </w:tabs>
        <w:spacing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kWp </w:t>
      </w:r>
      <w:r>
        <w:rPr>
          <w:rFonts w:ascii="Theinhardt Regular"/>
          <w:spacing w:val="37"/>
          <w:sz w:val="14"/>
        </w:rPr>
        <w:t> </w:t>
      </w: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4" w:equalWidth="0">
            <w:col w:w="3467" w:space="105"/>
            <w:col w:w="3456" w:space="115"/>
            <w:col w:w="991" w:space="40"/>
            <w:col w:w="2536"/>
          </w:cols>
        </w:sectPr>
      </w:pPr>
    </w:p>
    <w:p>
      <w:pPr>
        <w:pStyle w:val="BodyText"/>
        <w:spacing w:line="232" w:lineRule="auto" w:before="14"/>
        <w:ind w:right="0"/>
        <w:jc w:val="both"/>
      </w:pPr>
      <w:r>
        <w:rPr/>
        <w:t>und</w:t>
      </w:r>
      <w:r>
        <w:rPr>
          <w:spacing w:val="43"/>
        </w:rPr>
        <w:t> </w:t>
      </w:r>
      <w:r>
        <w:rPr/>
        <w:t>die</w:t>
      </w:r>
      <w:r>
        <w:rPr>
          <w:spacing w:val="44"/>
        </w:rPr>
        <w:t> </w:t>
      </w:r>
      <w:r>
        <w:rPr>
          <w:spacing w:val="-1"/>
        </w:rPr>
        <w:t>oberen</w:t>
      </w:r>
      <w:r>
        <w:rPr>
          <w:spacing w:val="43"/>
        </w:rPr>
        <w:t> </w:t>
      </w:r>
      <w:r>
        <w:rPr>
          <w:spacing w:val="-1"/>
        </w:rPr>
        <w:t>Geschosse</w:t>
      </w:r>
      <w:r>
        <w:rPr>
          <w:spacing w:val="44"/>
        </w:rPr>
        <w:t> </w:t>
      </w:r>
      <w:r>
        <w:rPr>
          <w:spacing w:val="-1"/>
        </w:rPr>
        <w:t>abgebrochen.</w:t>
      </w:r>
      <w:r>
        <w:rPr>
          <w:spacing w:val="27"/>
        </w:rPr>
        <w:t> </w:t>
      </w:r>
      <w:r>
        <w:rPr>
          <w:spacing w:val="-1"/>
        </w:rPr>
        <w:t>Diese</w:t>
      </w:r>
      <w:r>
        <w:rPr>
          <w:spacing w:val="-10"/>
        </w:rPr>
        <w:t> </w:t>
      </w:r>
      <w:r>
        <w:rPr/>
        <w:t>sind</w:t>
      </w:r>
      <w:r>
        <w:rPr>
          <w:spacing w:val="-10"/>
        </w:rPr>
        <w:t> </w:t>
      </w:r>
      <w:r>
        <w:rPr/>
        <w:t>neu</w:t>
      </w:r>
      <w:r>
        <w:rPr>
          <w:spacing w:val="-10"/>
        </w:rPr>
        <w:t> </w:t>
      </w:r>
      <w:r>
        <w:rPr/>
        <w:t>aus</w:t>
      </w:r>
      <w:r>
        <w:rPr>
          <w:spacing w:val="-10"/>
        </w:rPr>
        <w:t> </w:t>
      </w:r>
      <w:r>
        <w:rPr/>
        <w:t>Holz</w:t>
      </w:r>
      <w:r>
        <w:rPr>
          <w:spacing w:val="-10"/>
        </w:rPr>
        <w:t> </w:t>
      </w:r>
      <w:r>
        <w:rPr/>
        <w:t>konstruiert,</w:t>
      </w:r>
      <w:r>
        <w:rPr>
          <w:spacing w:val="-21"/>
        </w:rPr>
        <w:t> </w:t>
      </w:r>
      <w:r>
        <w:rPr/>
        <w:t>das</w:t>
      </w:r>
      <w:r>
        <w:rPr>
          <w:spacing w:val="-10"/>
        </w:rPr>
        <w:t> </w:t>
      </w:r>
      <w:r>
        <w:rPr/>
        <w:t>we-</w:t>
      </w:r>
      <w:r>
        <w:rPr>
          <w:spacing w:val="24"/>
        </w:rPr>
        <w:t> </w:t>
      </w:r>
      <w:r>
        <w:rPr/>
        <w:t>nig </w:t>
      </w:r>
      <w:r>
        <w:rPr>
          <w:spacing w:val="-1"/>
        </w:rPr>
        <w:t>Energie</w:t>
      </w:r>
      <w:r>
        <w:rPr/>
        <w:t> für die Herstellung und den</w:t>
      </w:r>
      <w:r>
        <w:rPr>
          <w:spacing w:val="24"/>
        </w:rPr>
        <w:t> </w:t>
      </w:r>
      <w:r>
        <w:rPr>
          <w:spacing w:val="-2"/>
        </w:rPr>
        <w:t>Transport</w:t>
      </w:r>
      <w:r>
        <w:rPr>
          <w:spacing w:val="35"/>
        </w:rPr>
        <w:t> </w:t>
      </w:r>
      <w:r>
        <w:rPr/>
        <w:t>benötigt.</w:t>
      </w:r>
      <w:r>
        <w:rPr>
          <w:spacing w:val="25"/>
        </w:rPr>
        <w:t> </w:t>
      </w:r>
      <w:r>
        <w:rPr>
          <w:spacing w:val="-1"/>
        </w:rPr>
        <w:t>Die</w:t>
      </w:r>
      <w:r>
        <w:rPr>
          <w:spacing w:val="35"/>
        </w:rPr>
        <w:t> </w:t>
      </w:r>
      <w:r>
        <w:rPr>
          <w:spacing w:val="1"/>
        </w:rPr>
        <w:t>verputzte</w:t>
      </w:r>
      <w:r>
        <w:rPr>
          <w:spacing w:val="36"/>
        </w:rPr>
        <w:t> </w:t>
      </w:r>
      <w:r>
        <w:rPr>
          <w:spacing w:val="-1"/>
        </w:rPr>
        <w:t>Fassade</w:t>
      </w:r>
      <w:r>
        <w:rPr>
          <w:spacing w:val="23"/>
        </w:rPr>
        <w:t> </w:t>
      </w:r>
      <w:r>
        <w:rPr/>
        <w:t>und die </w:t>
      </w:r>
      <w:r>
        <w:rPr>
          <w:spacing w:val="-1"/>
        </w:rPr>
        <w:t>inneren</w:t>
      </w:r>
      <w:r>
        <w:rPr/>
        <w:t> </w:t>
      </w:r>
      <w:r>
        <w:rPr>
          <w:spacing w:val="-1"/>
        </w:rPr>
        <w:t>Wandflächen</w:t>
      </w:r>
      <w:r>
        <w:rPr/>
        <w:t> aus Holz sind</w:t>
      </w:r>
      <w:r>
        <w:rPr>
          <w:spacing w:val="28"/>
        </w:rPr>
        <w:t> </w:t>
      </w:r>
      <w:r>
        <w:rPr/>
        <w:t>das</w:t>
      </w:r>
      <w:r>
        <w:rPr>
          <w:spacing w:val="24"/>
        </w:rPr>
        <w:t> </w:t>
      </w:r>
      <w:r>
        <w:rPr/>
        <w:t>Gegenteil</w:t>
      </w:r>
      <w:r>
        <w:rPr>
          <w:spacing w:val="25"/>
        </w:rPr>
        <w:t> </w:t>
      </w:r>
      <w:r>
        <w:rPr/>
        <w:t>der</w:t>
      </w:r>
      <w:r>
        <w:rPr>
          <w:spacing w:val="24"/>
        </w:rPr>
        <w:t> </w:t>
      </w:r>
      <w:r>
        <w:rPr/>
        <w:t>üblichen</w:t>
      </w:r>
      <w:r>
        <w:rPr>
          <w:spacing w:val="25"/>
        </w:rPr>
        <w:t> </w:t>
      </w:r>
      <w:r>
        <w:rPr>
          <w:spacing w:val="-1"/>
        </w:rPr>
        <w:t>Holzbauweise.</w:t>
      </w:r>
      <w:r>
        <w:rPr>
          <w:spacing w:val="30"/>
        </w:rPr>
        <w:t> </w:t>
      </w:r>
      <w:r>
        <w:rPr/>
        <w:t>Doch</w:t>
      </w:r>
      <w:r>
        <w:rPr>
          <w:spacing w:val="4"/>
        </w:rPr>
        <w:t> </w:t>
      </w:r>
      <w:r>
        <w:rPr/>
        <w:t>das</w:t>
      </w:r>
      <w:r>
        <w:rPr>
          <w:spacing w:val="4"/>
        </w:rPr>
        <w:t> </w:t>
      </w:r>
      <w:r>
        <w:rPr/>
        <w:t>sichert</w:t>
      </w:r>
      <w:r>
        <w:rPr>
          <w:spacing w:val="4"/>
        </w:rPr>
        <w:t> </w:t>
      </w:r>
      <w:r>
        <w:rPr/>
        <w:t>niedrige</w:t>
      </w:r>
      <w:r>
        <w:rPr>
          <w:spacing w:val="4"/>
        </w:rPr>
        <w:t> </w:t>
      </w:r>
      <w:r>
        <w:rPr>
          <w:spacing w:val="-1"/>
        </w:rPr>
        <w:t>Unterhaltskosten</w:t>
      </w:r>
      <w:r>
        <w:rPr>
          <w:spacing w:val="38"/>
        </w:rPr>
        <w:t> </w:t>
      </w:r>
      <w:r>
        <w:rPr/>
        <w:t>der</w:t>
      </w:r>
      <w:r>
        <w:rPr>
          <w:spacing w:val="3"/>
        </w:rPr>
        <w:t> </w:t>
      </w:r>
      <w:r>
        <w:rPr>
          <w:spacing w:val="-1"/>
        </w:rPr>
        <w:t>Fassade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vermittelt</w:t>
      </w:r>
      <w:r>
        <w:rPr>
          <w:spacing w:val="3"/>
        </w:rPr>
        <w:t> </w:t>
      </w:r>
      <w:r>
        <w:rPr/>
        <w:t>den</w:t>
      </w:r>
      <w:r>
        <w:rPr>
          <w:spacing w:val="3"/>
        </w:rPr>
        <w:t> </w:t>
      </w:r>
      <w:r>
        <w:rPr>
          <w:spacing w:val="-1"/>
        </w:rPr>
        <w:t>Bewohnern</w:t>
      </w:r>
      <w:r>
        <w:rPr>
          <w:spacing w:val="24"/>
        </w:rPr>
        <w:t> </w:t>
      </w:r>
      <w:r>
        <w:rPr/>
        <w:t>das</w:t>
      </w:r>
      <w:r>
        <w:rPr>
          <w:spacing w:val="6"/>
        </w:rPr>
        <w:t> </w:t>
      </w:r>
      <w:r>
        <w:rPr/>
        <w:t>„holzige“</w:t>
      </w:r>
      <w:r>
        <w:rPr>
          <w:spacing w:val="-8"/>
        </w:rPr>
        <w:t> </w:t>
      </w:r>
      <w:r>
        <w:rPr>
          <w:spacing w:val="-1"/>
        </w:rPr>
        <w:t>Wohngefühl.</w:t>
      </w:r>
      <w:r>
        <w:rPr>
          <w:spacing w:val="-4"/>
        </w:rPr>
        <w:t> </w:t>
      </w:r>
      <w:r>
        <w:rPr>
          <w:spacing w:val="1"/>
        </w:rPr>
        <w:t>Das</w:t>
      </w:r>
      <w:r>
        <w:rPr>
          <w:spacing w:val="6"/>
        </w:rPr>
        <w:t> </w:t>
      </w:r>
      <w:r>
        <w:rPr>
          <w:spacing w:val="-2"/>
        </w:rPr>
        <w:t>EFH</w:t>
      </w:r>
      <w:r>
        <w:rPr>
          <w:spacing w:val="6"/>
        </w:rPr>
        <w:t> </w:t>
      </w:r>
      <w:r>
        <w:rPr/>
        <w:t>verfügt</w:t>
      </w:r>
      <w:r>
        <w:rPr>
          <w:spacing w:val="29"/>
        </w:rPr>
        <w:t> </w:t>
      </w:r>
      <w:r>
        <w:rPr/>
        <w:t>über</w:t>
      </w:r>
      <w:r>
        <w:rPr>
          <w:spacing w:val="9"/>
        </w:rPr>
        <w:t> </w:t>
      </w:r>
      <w:r>
        <w:rPr/>
        <w:t>eine</w:t>
      </w:r>
      <w:r>
        <w:rPr>
          <w:spacing w:val="9"/>
        </w:rPr>
        <w:t> </w:t>
      </w:r>
      <w:r>
        <w:rPr/>
        <w:t>gute</w:t>
      </w:r>
      <w:r>
        <w:rPr>
          <w:spacing w:val="9"/>
        </w:rPr>
        <w:t> </w:t>
      </w:r>
      <w:r>
        <w:rPr>
          <w:spacing w:val="-1"/>
        </w:rPr>
        <w:t>Wärmedämmung</w:t>
      </w:r>
      <w:r>
        <w:rPr>
          <w:spacing w:val="9"/>
        </w:rPr>
        <w:t> </w:t>
      </w:r>
      <w:r>
        <w:rPr/>
        <w:t>mit</w:t>
      </w:r>
      <w:r>
        <w:rPr>
          <w:spacing w:val="9"/>
        </w:rPr>
        <w:t> </w:t>
      </w:r>
      <w:r>
        <w:rPr/>
        <w:t>einem</w:t>
      </w:r>
      <w:r>
        <w:rPr>
          <w:spacing w:val="23"/>
        </w:rPr>
        <w:t> </w:t>
      </w:r>
      <w:r>
        <w:rPr/>
        <w:t>geringen</w:t>
      </w:r>
      <w:r>
        <w:rPr>
          <w:spacing w:val="28"/>
        </w:rPr>
        <w:t> </w:t>
      </w:r>
      <w:r>
        <w:rPr>
          <w:spacing w:val="-1"/>
        </w:rPr>
        <w:t>Gesamtenergiebedarf</w:t>
      </w:r>
      <w:r>
        <w:rPr>
          <w:spacing w:val="29"/>
        </w:rPr>
        <w:t> </w:t>
      </w:r>
      <w:r>
        <w:rPr/>
        <w:t>von</w:t>
      </w:r>
      <w:r>
        <w:rPr>
          <w:spacing w:val="28"/>
        </w:rPr>
        <w:t> </w:t>
      </w:r>
      <w:r>
        <w:rPr/>
        <w:t>5’170</w:t>
      </w:r>
    </w:p>
    <w:p>
      <w:pPr>
        <w:pStyle w:val="BodyText"/>
        <w:spacing w:line="230" w:lineRule="exact"/>
        <w:ind w:right="8"/>
        <w:jc w:val="left"/>
      </w:pPr>
      <w:r>
        <w:rPr/>
        <w:br w:type="column"/>
      </w:r>
      <w:r>
        <w:rPr/>
        <w:t>die</w:t>
      </w:r>
      <w:r>
        <w:rPr>
          <w:spacing w:val="9"/>
        </w:rPr>
        <w:t> </w:t>
      </w:r>
      <w:r>
        <w:rPr>
          <w:spacing w:val="-2"/>
        </w:rPr>
        <w:t>West-</w:t>
      </w:r>
      <w:r>
        <w:rPr>
          <w:spacing w:val="9"/>
        </w:rPr>
        <w:t> </w:t>
      </w:r>
      <w:r>
        <w:rPr/>
        <w:t>und</w:t>
      </w:r>
      <w:r>
        <w:rPr>
          <w:spacing w:val="9"/>
        </w:rPr>
        <w:t> </w:t>
      </w:r>
      <w:r>
        <w:rPr/>
        <w:t>die</w:t>
      </w:r>
      <w:r>
        <w:rPr>
          <w:spacing w:val="9"/>
        </w:rPr>
        <w:t> </w:t>
      </w:r>
      <w:r>
        <w:rPr/>
        <w:t>Ostseite</w:t>
      </w:r>
      <w:r>
        <w:rPr>
          <w:spacing w:val="9"/>
        </w:rPr>
        <w:t> </w:t>
      </w:r>
      <w:r>
        <w:rPr/>
        <w:t>des</w:t>
      </w:r>
      <w:r>
        <w:rPr>
          <w:spacing w:val="9"/>
        </w:rPr>
        <w:t> </w:t>
      </w:r>
      <w:r>
        <w:rPr/>
        <w:t>Daches</w:t>
      </w:r>
      <w:r>
        <w:rPr>
          <w:spacing w:val="9"/>
        </w:rPr>
        <w:t> </w:t>
      </w:r>
      <w:r>
        <w:rPr/>
        <w:t>mit</w:t>
      </w:r>
      <w:r>
        <w:rPr>
          <w:spacing w:val="28"/>
        </w:rPr>
        <w:t> </w:t>
      </w:r>
      <w:r>
        <w:rPr>
          <w:spacing w:val="-2"/>
        </w:rPr>
        <w:t>PV-Panels</w:t>
      </w:r>
      <w:r>
        <w:rPr/>
        <w:t> ausgestattet.</w:t>
      </w:r>
    </w:p>
    <w:p>
      <w:pPr>
        <w:pStyle w:val="BodyText"/>
        <w:spacing w:line="232" w:lineRule="auto" w:before="15"/>
        <w:ind w:right="0" w:firstLine="226"/>
        <w:jc w:val="both"/>
      </w:pPr>
      <w:r>
        <w:rPr>
          <w:spacing w:val="-1"/>
        </w:rPr>
        <w:t>Die</w:t>
      </w:r>
      <w:r>
        <w:rPr>
          <w:spacing w:val="30"/>
        </w:rPr>
        <w:t> </w:t>
      </w:r>
      <w:r>
        <w:rPr>
          <w:spacing w:val="-1"/>
        </w:rPr>
        <w:t>knapp</w:t>
      </w:r>
      <w:r>
        <w:rPr>
          <w:spacing w:val="31"/>
        </w:rPr>
        <w:t> </w:t>
      </w:r>
      <w:r>
        <w:rPr/>
        <w:t>125</w:t>
      </w:r>
      <w:r>
        <w:rPr>
          <w:spacing w:val="31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  <w:szCs w:val="10"/>
        </w:rPr>
        <w:t>2</w:t>
      </w:r>
      <w:r>
        <w:rPr>
          <w:spacing w:val="26"/>
          <w:position w:val="6"/>
          <w:sz w:val="10"/>
          <w:szCs w:val="10"/>
        </w:rPr>
        <w:t> </w:t>
      </w:r>
      <w:r>
        <w:rPr>
          <w:spacing w:val="-2"/>
        </w:rPr>
        <w:t>grosse</w:t>
      </w:r>
      <w:r>
        <w:rPr>
          <w:spacing w:val="31"/>
        </w:rPr>
        <w:t> </w:t>
      </w:r>
      <w:r>
        <w:rPr/>
        <w:t>19</w:t>
      </w:r>
      <w:r>
        <w:rPr>
          <w:spacing w:val="31"/>
        </w:rPr>
        <w:t> </w:t>
      </w:r>
      <w:r>
        <w:rPr>
          <w:spacing w:val="-2"/>
        </w:rPr>
        <w:t>kWp-PV-</w:t>
      </w:r>
      <w:r>
        <w:rPr>
          <w:spacing w:val="21"/>
        </w:rPr>
        <w:t> </w:t>
      </w:r>
      <w:r>
        <w:rPr>
          <w:spacing w:val="-1"/>
        </w:rPr>
        <w:t>Anlage,</w:t>
      </w:r>
      <w:r>
        <w:rPr>
          <w:spacing w:val="30"/>
        </w:rPr>
        <w:t> </w:t>
      </w:r>
      <w:r>
        <w:rPr/>
        <w:t>die</w:t>
      </w:r>
      <w:r>
        <w:rPr>
          <w:spacing w:val="40"/>
        </w:rPr>
        <w:t> </w:t>
      </w:r>
      <w:r>
        <w:rPr/>
        <w:t>jährlich</w:t>
      </w:r>
      <w:r>
        <w:rPr>
          <w:spacing w:val="40"/>
        </w:rPr>
        <w:t> </w:t>
      </w:r>
      <w:r>
        <w:rPr/>
        <w:t>15’100</w:t>
      </w:r>
      <w:r>
        <w:rPr>
          <w:spacing w:val="40"/>
        </w:rPr>
        <w:t> </w:t>
      </w:r>
      <w:r>
        <w:rPr/>
        <w:t>kWh</w:t>
      </w:r>
      <w:r>
        <w:rPr>
          <w:spacing w:val="40"/>
        </w:rPr>
        <w:t> </w:t>
      </w:r>
      <w:r>
        <w:rPr/>
        <w:t>erzeugt,</w:t>
      </w:r>
      <w:r>
        <w:rPr>
          <w:spacing w:val="30"/>
          <w:w w:val="99"/>
        </w:rPr>
        <w:t> </w:t>
      </w:r>
      <w:r>
        <w:rPr/>
        <w:t>garantiert</w:t>
      </w:r>
      <w:r>
        <w:rPr>
          <w:spacing w:val="-25"/>
        </w:rPr>
        <w:t> </w:t>
      </w:r>
      <w:r>
        <w:rPr/>
        <w:t>einen</w:t>
      </w:r>
      <w:r>
        <w:rPr>
          <w:spacing w:val="-25"/>
        </w:rPr>
        <w:t> </w:t>
      </w:r>
      <w:r>
        <w:rPr>
          <w:spacing w:val="-1"/>
        </w:rPr>
        <w:t>Stromüberschuss</w:t>
      </w:r>
      <w:r>
        <w:rPr>
          <w:spacing w:val="-25"/>
        </w:rPr>
        <w:t> </w:t>
      </w:r>
      <w:r>
        <w:rPr/>
        <w:t>von</w:t>
      </w:r>
      <w:r>
        <w:rPr>
          <w:spacing w:val="-24"/>
        </w:rPr>
        <w:t> </w:t>
      </w:r>
      <w:r>
        <w:rPr/>
        <w:t>9’940</w:t>
      </w:r>
      <w:r>
        <w:rPr>
          <w:spacing w:val="29"/>
          <w:w w:val="99"/>
        </w:rPr>
        <w:t> </w:t>
      </w:r>
      <w:r>
        <w:rPr>
          <w:spacing w:val="-2"/>
        </w:rPr>
        <w:t>kWh/a.</w:t>
      </w:r>
      <w:r>
        <w:rPr>
          <w:spacing w:val="-16"/>
        </w:rPr>
        <w:t> </w:t>
      </w:r>
      <w:r>
        <w:rPr/>
        <w:t>Damit</w:t>
      </w:r>
      <w:r>
        <w:rPr>
          <w:spacing w:val="-16"/>
        </w:rPr>
        <w:t> </w:t>
      </w:r>
      <w:r>
        <w:rPr>
          <w:spacing w:val="-2"/>
        </w:rPr>
        <w:t>können</w:t>
      </w:r>
      <w:r>
        <w:rPr>
          <w:spacing w:val="-16"/>
        </w:rPr>
        <w:t> </w:t>
      </w:r>
      <w:r>
        <w:rPr/>
        <w:t>noch</w:t>
      </w:r>
      <w:r>
        <w:rPr>
          <w:spacing w:val="-16"/>
        </w:rPr>
        <w:t> </w:t>
      </w:r>
      <w:r>
        <w:rPr/>
        <w:t>zwei</w:t>
      </w:r>
      <w:r>
        <w:rPr>
          <w:spacing w:val="-16"/>
        </w:rPr>
        <w:t> </w:t>
      </w:r>
      <w:r>
        <w:rPr>
          <w:spacing w:val="-1"/>
        </w:rPr>
        <w:t>weitere</w:t>
      </w:r>
      <w:r>
        <w:rPr>
          <w:spacing w:val="-15"/>
        </w:rPr>
        <w:t> </w:t>
      </w:r>
      <w:r>
        <w:rPr/>
        <w:t>ver-</w:t>
      </w:r>
      <w:r>
        <w:rPr>
          <w:spacing w:val="26"/>
        </w:rPr>
        <w:t> </w:t>
      </w:r>
      <w:r>
        <w:rPr>
          <w:spacing w:val="-1"/>
        </w:rPr>
        <w:t>gleichbare</w:t>
      </w:r>
      <w:r>
        <w:rPr>
          <w:spacing w:val="25"/>
        </w:rPr>
        <w:t> </w:t>
      </w:r>
      <w:r>
        <w:rPr/>
        <w:t>Haushalte</w:t>
      </w:r>
      <w:r>
        <w:rPr>
          <w:spacing w:val="26"/>
        </w:rPr>
        <w:t> </w:t>
      </w:r>
      <w:r>
        <w:rPr>
          <w:spacing w:val="-1"/>
        </w:rPr>
        <w:t>energetisch</w:t>
      </w:r>
      <w:r>
        <w:rPr>
          <w:spacing w:val="25"/>
        </w:rPr>
        <w:t> </w:t>
      </w:r>
      <w:r>
        <w:rPr/>
        <w:t>vollstän-</w:t>
      </w:r>
      <w:r>
        <w:rPr>
          <w:spacing w:val="29"/>
        </w:rPr>
        <w:t> </w:t>
      </w:r>
      <w:r>
        <w:rPr/>
        <w:t>dig</w:t>
      </w:r>
      <w:r>
        <w:rPr>
          <w:spacing w:val="19"/>
        </w:rPr>
        <w:t> </w:t>
      </w:r>
      <w:r>
        <w:rPr>
          <w:spacing w:val="-1"/>
        </w:rPr>
        <w:t>versorgt</w:t>
      </w:r>
      <w:r>
        <w:rPr>
          <w:spacing w:val="19"/>
        </w:rPr>
        <w:t> </w:t>
      </w:r>
      <w:r>
        <w:rPr>
          <w:spacing w:val="-1"/>
        </w:rPr>
        <w:t>werden.</w:t>
      </w:r>
      <w:r>
        <w:rPr>
          <w:spacing w:val="8"/>
        </w:rPr>
        <w:t> </w:t>
      </w:r>
      <w:r>
        <w:rPr/>
        <w:t>Allein</w:t>
      </w:r>
      <w:r>
        <w:rPr>
          <w:spacing w:val="19"/>
        </w:rPr>
        <w:t> </w:t>
      </w:r>
      <w:r>
        <w:rPr/>
        <w:t>mit</w:t>
      </w:r>
      <w:r>
        <w:rPr>
          <w:spacing w:val="19"/>
        </w:rPr>
        <w:t> </w:t>
      </w:r>
      <w:r>
        <w:rPr/>
        <w:t>dem</w:t>
      </w:r>
      <w:r>
        <w:rPr>
          <w:spacing w:val="19"/>
        </w:rPr>
        <w:t> </w:t>
      </w:r>
      <w:r>
        <w:rPr/>
        <w:t>Solar-</w:t>
      </w:r>
      <w:r>
        <w:rPr>
          <w:spacing w:val="24"/>
        </w:rPr>
        <w:t> </w:t>
      </w:r>
      <w:r>
        <w:rPr>
          <w:spacing w:val="-1"/>
        </w:rPr>
        <w:t>stromüberschuss</w:t>
      </w:r>
      <w:r>
        <w:rPr>
          <w:spacing w:val="9"/>
        </w:rPr>
        <w:t> </w:t>
      </w:r>
      <w:r>
        <w:rPr>
          <w:spacing w:val="-2"/>
        </w:rPr>
        <w:t>könnte</w:t>
      </w:r>
      <w:r>
        <w:rPr>
          <w:spacing w:val="9"/>
        </w:rPr>
        <w:t> </w:t>
      </w:r>
      <w:r>
        <w:rPr/>
        <w:t>Rolf</w:t>
      </w:r>
      <w:r>
        <w:rPr>
          <w:spacing w:val="9"/>
        </w:rPr>
        <w:t> </w:t>
      </w:r>
      <w:r>
        <w:rPr>
          <w:spacing w:val="-1"/>
        </w:rPr>
        <w:t>Röthlisberger</w:t>
      </w:r>
    </w:p>
    <w:p>
      <w:pPr>
        <w:pStyle w:val="BodyText"/>
        <w:spacing w:line="232" w:lineRule="auto"/>
        <w:ind w:right="8"/>
        <w:jc w:val="left"/>
      </w:pPr>
      <w:r>
        <w:rPr/>
        <w:t>2.5</w:t>
      </w:r>
      <w:r>
        <w:rPr>
          <w:spacing w:val="4"/>
        </w:rPr>
        <w:t> </w:t>
      </w:r>
      <w:r>
        <w:rPr/>
        <w:t>Mal</w:t>
      </w:r>
      <w:r>
        <w:rPr>
          <w:spacing w:val="4"/>
        </w:rPr>
        <w:t> </w:t>
      </w:r>
      <w:r>
        <w:rPr/>
        <w:t>die</w:t>
      </w:r>
      <w:r>
        <w:rPr>
          <w:spacing w:val="4"/>
        </w:rPr>
        <w:t> </w:t>
      </w:r>
      <w:r>
        <w:rPr>
          <w:spacing w:val="-2"/>
        </w:rPr>
        <w:t>Erde</w:t>
      </w:r>
      <w:r>
        <w:rPr>
          <w:spacing w:val="4"/>
        </w:rPr>
        <w:t> </w:t>
      </w:r>
      <w:r>
        <w:rPr>
          <w:spacing w:val="-1"/>
        </w:rPr>
        <w:t>umrunden.</w:t>
      </w:r>
      <w:r>
        <w:rPr>
          <w:spacing w:val="-7"/>
        </w:rPr>
        <w:t> </w:t>
      </w:r>
      <w:r>
        <w:rPr/>
        <w:t>Dafür</w:t>
      </w:r>
      <w:r>
        <w:rPr>
          <w:spacing w:val="4"/>
        </w:rPr>
        <w:t> </w:t>
      </w:r>
      <w:r>
        <w:rPr/>
        <w:t>erhält</w:t>
      </w:r>
      <w:r>
        <w:rPr>
          <w:spacing w:val="4"/>
        </w:rPr>
        <w:t> </w:t>
      </w:r>
      <w:r>
        <w:rPr/>
        <w:t>er</w:t>
      </w:r>
      <w:r>
        <w:rPr>
          <w:spacing w:val="32"/>
        </w:rPr>
        <w:t> </w:t>
      </w:r>
      <w:r>
        <w:rPr/>
        <w:t>das </w:t>
      </w:r>
      <w:r>
        <w:rPr>
          <w:spacing w:val="-1"/>
        </w:rPr>
        <w:t>PlusEnergieBau-Diplom</w:t>
      </w:r>
      <w:r>
        <w:rPr/>
        <w:t> 2014.</w:t>
      </w:r>
    </w:p>
    <w:p>
      <w:pPr>
        <w:tabs>
          <w:tab w:pos="1727" w:val="left" w:leader="none"/>
          <w:tab w:pos="2302" w:val="left" w:leader="none"/>
          <w:tab w:pos="2779" w:val="left" w:leader="none"/>
        </w:tabs>
        <w:spacing w:line="67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125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2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18.9</w:t>
        <w:tab/>
        <w:t>120.8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292</w:t>
        <w:tab/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15’105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22" w:val="left" w:leader="none"/>
          <w:tab w:pos="2827" w:val="left" w:leader="none"/>
        </w:tabs>
        <w:spacing w:line="172" w:lineRule="exact" w:before="35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Energiebilanz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(Endenergie)</w:t>
        <w:tab/>
      </w:r>
      <w:r>
        <w:rPr>
          <w:rFonts w:ascii="Theinhardt Regular"/>
          <w:sz w:val="14"/>
        </w:rPr>
        <w:t>%</w:t>
        <w:tab/>
      </w:r>
      <w:r>
        <w:rPr>
          <w:rFonts w:ascii="Theinhardt Regular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298" w:val="left" w:leader="none"/>
          <w:tab w:pos="2779" w:val="left" w:leader="none"/>
        </w:tabs>
        <w:spacing w:line="160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w w:val="95"/>
          <w:sz w:val="14"/>
          <w:szCs w:val="14"/>
        </w:rPr>
        <w:t>292</w:t>
        <w:tab/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15’105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02" w:val="left" w:leader="none"/>
          <w:tab w:pos="2858" w:val="left" w:leader="none"/>
        </w:tabs>
        <w:spacing w:line="160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5’169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03" w:val="left" w:leader="none"/>
          <w:tab w:pos="2848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spacing w:val="-1"/>
          <w:w w:val="95"/>
          <w:sz w:val="14"/>
          <w:szCs w:val="14"/>
        </w:rPr>
        <w:t>192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9’936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spacing w:line="160" w:lineRule="exact" w:before="0"/>
        <w:ind w:left="270" w:right="1154" w:hanging="16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Bestätigt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AEK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am </w:t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7.7.2014</w:t>
      </w:r>
      <w:r>
        <w:rPr>
          <w:rFonts w:ascii="Theinhardt Regular" w:hAnsi="Theinhardt Regular" w:cs="Theinhardt Regular" w:eastAsia="Theinhardt Regular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Pia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Ritterbeck,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Tel.</w:t>
      </w:r>
      <w:r>
        <w:rPr>
          <w:rFonts w:ascii="Theinhardt Regular" w:hAnsi="Theinhardt Regular" w:cs="Theinhardt Regular" w:eastAsia="Theinhardt Regular"/>
          <w:sz w:val="14"/>
          <w:szCs w:val="14"/>
        </w:rPr>
        <w:t> 032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624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84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25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7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Bauherrschaft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Rolf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Röthlisberger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Buchenrain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32,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4524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Günsberg</w:t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079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488</w:t>
      </w:r>
      <w:r>
        <w:rPr>
          <w:rFonts w:ascii="Theinhardt Regular"/>
          <w:sz w:val="14"/>
        </w:rPr>
        <w:t> 77 </w:t>
      </w:r>
      <w:r>
        <w:rPr>
          <w:rFonts w:ascii="Theinhardt Regular"/>
          <w:spacing w:val="1"/>
          <w:sz w:val="14"/>
        </w:rPr>
        <w:t>0</w:t>
      </w:r>
      <w:hyperlink r:id="rId5">
        <w:r>
          <w:rPr>
            <w:rFonts w:ascii="Theinhardt Regular"/>
            <w:spacing w:val="1"/>
            <w:sz w:val="14"/>
          </w:rPr>
          <w:t>6,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rolf.roethlisberger@ruag.com</w:t>
        </w:r>
      </w:hyperlink>
    </w:p>
    <w:p>
      <w:pPr>
        <w:spacing w:line="172" w:lineRule="exact" w:before="3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Eugen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Elgart</w:t>
      </w:r>
    </w:p>
    <w:p>
      <w:pPr>
        <w:spacing w:line="207" w:lineRule="auto" w:before="6"/>
        <w:ind w:left="110" w:right="115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Architekturbüro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Eugen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Elgart</w:t>
      </w:r>
      <w:r>
        <w:rPr>
          <w:rFonts w:ascii="Theinhardt Regular" w:hAnsi="Theinhardt Regular"/>
          <w:spacing w:val="27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Werkhofstrasse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7"/>
          <w:sz w:val="14"/>
        </w:rPr>
        <w:t>17,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4500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Solothurn</w:t>
      </w:r>
    </w:p>
    <w:p>
      <w:pPr>
        <w:spacing w:line="167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078</w:t>
      </w:r>
      <w:r>
        <w:rPr>
          <w:rFonts w:ascii="Theinhardt Regular"/>
          <w:sz w:val="14"/>
        </w:rPr>
        <w:t> 601 </w:t>
      </w:r>
      <w:r>
        <w:rPr>
          <w:rFonts w:ascii="Theinhardt Regular"/>
          <w:spacing w:val="-4"/>
          <w:sz w:val="14"/>
        </w:rPr>
        <w:t>14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9</w:t>
      </w:r>
      <w:hyperlink r:id="rId6">
        <w:r>
          <w:rPr>
            <w:rFonts w:ascii="Theinhardt Regular"/>
            <w:spacing w:val="-1"/>
            <w:sz w:val="14"/>
          </w:rPr>
          <w:t>2,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2"/>
            <w:sz w:val="14"/>
          </w:rPr>
          <w:t>info@elgart.ch</w:t>
        </w:r>
      </w:hyperlink>
    </w:p>
    <w:p>
      <w:pPr>
        <w:spacing w:line="160" w:lineRule="exact" w:before="43"/>
        <w:ind w:left="110" w:right="127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Konstruktion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und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Holzbau:</w:t>
      </w:r>
      <w:r>
        <w:rPr>
          <w:rFonts w:ascii="Theinhardt Bold" w:hAnsi="Theinhardt Bold"/>
          <w:b/>
          <w:spacing w:val="3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Schmid</w:t>
      </w:r>
      <w:r>
        <w:rPr>
          <w:rFonts w:ascii="Theinhardt Regular" w:hAnsi="Theinhardt Regular"/>
          <w:sz w:val="14"/>
        </w:rPr>
        <w:t> &amp; </w:t>
      </w:r>
      <w:r>
        <w:rPr>
          <w:rFonts w:ascii="Theinhardt Regular" w:hAnsi="Theinhardt Regular"/>
          <w:spacing w:val="1"/>
          <w:sz w:val="14"/>
        </w:rPr>
        <w:t>Co.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Holzbau</w:t>
      </w:r>
      <w:r>
        <w:rPr>
          <w:rFonts w:ascii="Theinhardt Regular" w:hAnsi="Theinhardt Regular"/>
          <w:sz w:val="14"/>
        </w:rPr>
        <w:t> AG</w:t>
      </w:r>
      <w:r>
        <w:rPr>
          <w:rFonts w:ascii="Theinhardt Regular" w:hAnsi="Theinhardt Regular"/>
          <w:spacing w:val="29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Gewerbestrasse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1,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4524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Günsberg</w:t>
      </w:r>
    </w:p>
    <w:p>
      <w:pPr>
        <w:spacing w:line="177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032 </w:t>
      </w:r>
      <w:r>
        <w:rPr>
          <w:rFonts w:ascii="Theinhardt Regular"/>
          <w:spacing w:val="-1"/>
          <w:sz w:val="14"/>
        </w:rPr>
        <w:t>637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15</w:t>
      </w:r>
      <w:r>
        <w:rPr>
          <w:rFonts w:ascii="Theinhardt Regular"/>
          <w:sz w:val="14"/>
        </w:rPr>
        <w:t> 5</w:t>
      </w:r>
      <w:hyperlink r:id="rId7">
        <w:r>
          <w:rPr>
            <w:rFonts w:ascii="Theinhardt Regular"/>
            <w:sz w:val="14"/>
          </w:rPr>
          <w:t>4, </w:t>
        </w:r>
        <w:r>
          <w:rPr>
            <w:rFonts w:ascii="Theinhardt Regular"/>
            <w:spacing w:val="1"/>
            <w:sz w:val="14"/>
          </w:rPr>
          <w:t>info@holzbau-schmid.ch</w:t>
        </w:r>
      </w:hyperlink>
    </w:p>
    <w:p>
      <w:pPr>
        <w:spacing w:line="172" w:lineRule="exact" w:before="3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PV-Anlage: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Zetter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Solar</w:t>
      </w:r>
      <w:r>
        <w:rPr>
          <w:rFonts w:ascii="Theinhardt Regular"/>
          <w:sz w:val="14"/>
        </w:rPr>
        <w:t> AG</w:t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Bielstrasse</w:t>
      </w:r>
      <w:r>
        <w:rPr>
          <w:rFonts w:ascii="Theinhardt Regular"/>
          <w:sz w:val="14"/>
        </w:rPr>
        <w:t> 96, </w:t>
      </w:r>
      <w:r>
        <w:rPr>
          <w:rFonts w:ascii="Theinhardt Regular"/>
          <w:spacing w:val="2"/>
          <w:sz w:val="14"/>
        </w:rPr>
        <w:t>Postfach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544,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4503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Solothurn</w:t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032 </w:t>
      </w:r>
      <w:r>
        <w:rPr>
          <w:rFonts w:ascii="Theinhardt Regular"/>
          <w:spacing w:val="-2"/>
          <w:sz w:val="14"/>
        </w:rPr>
        <w:t>621</w:t>
      </w:r>
      <w:r>
        <w:rPr>
          <w:rFonts w:ascii="Theinhardt Regular"/>
          <w:sz w:val="14"/>
        </w:rPr>
        <w:t> 49 </w:t>
      </w:r>
      <w:r>
        <w:rPr>
          <w:rFonts w:ascii="Theinhardt Regular"/>
          <w:spacing w:val="-1"/>
          <w:sz w:val="14"/>
        </w:rPr>
        <w:t>59</w:t>
      </w:r>
      <w:hyperlink r:id="rId8">
        <w:r>
          <w:rPr>
            <w:rFonts w:ascii="Theinhardt Regular"/>
            <w:spacing w:val="-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info@zetter-solar.ch</w:t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3" w:equalWidth="0">
            <w:col w:w="3467" w:space="105"/>
            <w:col w:w="3466" w:space="105"/>
            <w:col w:w="3567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00" w:lineRule="atLeast"/>
        <w:ind w:left="725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5992" cy="14173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92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3" w:val="left" w:leader="none"/>
        </w:tabs>
        <w:spacing w:before="7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-230.505402pt;width:345.827pt;height:230.003pt;mso-position-horizontal-relative:page;mso-position-vertical-relative:paragraph;z-index:1216" type="#_x0000_t75" stroked="false">
            <v:imagedata r:id="rId10" o:title=""/>
          </v:shape>
        </w:pict>
      </w:r>
      <w:r>
        <w:rPr>
          <w:rFonts w:ascii="Theinhardt Bold"/>
          <w:b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17"/>
          <w:szCs w:val="17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7"/>
          <w:szCs w:val="17"/>
        </w:rPr>
        <w:sectPr>
          <w:type w:val="continuous"/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Das </w:t>
      </w:r>
      <w:r>
        <w:rPr>
          <w:rFonts w:ascii="Theinhardt Bold" w:hAnsi="Theinhardt Bold"/>
          <w:b/>
          <w:spacing w:val="-1"/>
          <w:sz w:val="14"/>
        </w:rPr>
        <w:t>EFH</w:t>
      </w:r>
      <w:r>
        <w:rPr>
          <w:rFonts w:ascii="Theinhardt Bold" w:hAnsi="Theinhardt Bold"/>
          <w:b/>
          <w:sz w:val="14"/>
        </w:rPr>
        <w:t> Röthlisberger </w:t>
      </w:r>
      <w:r>
        <w:rPr>
          <w:rFonts w:ascii="Theinhardt Bold" w:hAnsi="Theinhardt Bold"/>
          <w:b/>
          <w:spacing w:val="-1"/>
          <w:sz w:val="14"/>
        </w:rPr>
        <w:t>erzeugt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jährlich</w:t>
      </w:r>
      <w:r>
        <w:rPr>
          <w:rFonts w:ascii="Theinhardt Bold" w:hAnsi="Theinhardt Bold"/>
          <w:b/>
          <w:sz w:val="14"/>
        </w:rPr>
        <w:t> 192%</w:t>
      </w:r>
      <w:r>
        <w:rPr>
          <w:rFonts w:ascii="Theinhardt Bold" w:hAnsi="Theinhardt Bold"/>
          <w:b/>
          <w:spacing w:val="32"/>
          <w:sz w:val="14"/>
        </w:rPr>
        <w:t> </w:t>
      </w:r>
      <w:r>
        <w:rPr>
          <w:rFonts w:ascii="Theinhardt Bold" w:hAnsi="Theinhardt Bold"/>
          <w:b/>
          <w:sz w:val="14"/>
        </w:rPr>
        <w:t>mehr </w:t>
      </w:r>
      <w:r>
        <w:rPr>
          <w:rFonts w:ascii="Theinhardt Bold" w:hAnsi="Theinhardt Bold"/>
          <w:b/>
          <w:spacing w:val="-1"/>
          <w:sz w:val="14"/>
        </w:rPr>
        <w:t>Energie,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als es </w:t>
      </w:r>
      <w:r>
        <w:rPr>
          <w:rFonts w:ascii="Theinhardt Bold" w:hAnsi="Theinhardt Bold"/>
          <w:b/>
          <w:spacing w:val="-1"/>
          <w:sz w:val="14"/>
        </w:rPr>
        <w:t>selbst</w:t>
      </w:r>
      <w:r>
        <w:rPr>
          <w:rFonts w:ascii="Theinhardt Bold" w:hAnsi="Theinhardt Bold"/>
          <w:b/>
          <w:sz w:val="14"/>
        </w:rPr>
        <w:t> verbraucht.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Allein</w:t>
      </w:r>
      <w:r>
        <w:rPr>
          <w:rFonts w:ascii="Theinhardt Bold" w:hAnsi="Theinhardt Bold"/>
          <w:b/>
          <w:spacing w:val="30"/>
          <w:sz w:val="14"/>
        </w:rPr>
        <w:t> </w:t>
      </w:r>
      <w:r>
        <w:rPr>
          <w:rFonts w:ascii="Theinhardt Bold" w:hAnsi="Theinhardt Bold"/>
          <w:b/>
          <w:sz w:val="14"/>
        </w:rPr>
        <w:t>mit </w:t>
      </w:r>
      <w:r>
        <w:rPr>
          <w:rFonts w:ascii="Theinhardt Bold" w:hAnsi="Theinhardt Bold"/>
          <w:b/>
          <w:spacing w:val="-1"/>
          <w:sz w:val="14"/>
        </w:rPr>
        <w:t>dem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Solarstromüberschuss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könnten</w:t>
      </w:r>
      <w:r>
        <w:rPr>
          <w:rFonts w:ascii="Theinhardt Bold" w:hAnsi="Theinhardt Bold"/>
          <w:b/>
          <w:spacing w:val="53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Röthlisbergers</w:t>
      </w:r>
      <w:r>
        <w:rPr>
          <w:rFonts w:ascii="Theinhardt Bold" w:hAnsi="Theinhardt Bold"/>
          <w:b/>
          <w:sz w:val="14"/>
        </w:rPr>
        <w:t> 2.5 Mal </w:t>
      </w:r>
      <w:r>
        <w:rPr>
          <w:rFonts w:ascii="Theinhardt Bold" w:hAnsi="Theinhardt Bold"/>
          <w:b/>
          <w:spacing w:val="-1"/>
          <w:sz w:val="14"/>
        </w:rPr>
        <w:t>die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Erde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umfahren.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3862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Die optimal integrierte,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nach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Ost-West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ausge-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richtete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monokristalline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19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kWp-PV-Anlage</w:t>
      </w:r>
      <w:r>
        <w:rPr>
          <w:rFonts w:ascii="Theinhardt Bold" w:hAnsi="Theinhardt Bold" w:cs="Theinhardt Bold" w:eastAsia="Theinhardt Bold"/>
          <w:b/>
          <w:bCs/>
          <w:spacing w:val="6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liefert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15’100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2" w:equalWidth="0">
            <w:col w:w="3240" w:space="331"/>
            <w:col w:w="7139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53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27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7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8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7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59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olf.roethlisberger@ruag.com" TargetMode="External"/><Relationship Id="rId6" Type="http://schemas.openxmlformats.org/officeDocument/2006/relationships/hyperlink" Target="mailto:info@elgart.ch" TargetMode="External"/><Relationship Id="rId7" Type="http://schemas.openxmlformats.org/officeDocument/2006/relationships/hyperlink" Target="mailto:info@holzbau-schmid.ch" TargetMode="External"/><Relationship Id="rId8" Type="http://schemas.openxmlformats.org/officeDocument/2006/relationships/hyperlink" Target="mailto:info@zetter-solar.ch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2014-09-17T14:52:18Z</dcterms:created>
  <dcterms:modified xsi:type="dcterms:W3CDTF">2014-09-17T14:52:18Z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