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9712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9664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7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Sanierung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</w:t>
      </w:r>
    </w:p>
    <w:p>
      <w:pPr>
        <w:pStyle w:val="Heading2"/>
        <w:spacing w:line="240" w:lineRule="auto" w:before="9"/>
        <w:ind w:right="0" w:firstLine="0"/>
        <w:jc w:val="both"/>
      </w:pPr>
      <w:r>
        <w:rPr/>
        <w:t>und </w:t>
      </w:r>
      <w:r>
        <w:rPr>
          <w:spacing w:val="-1"/>
        </w:rPr>
        <w:t>NFSA-Diploma</w:t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1965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achtstöckige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Palazzo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Positivo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Chiasso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Woh-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nungen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wurde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2012-2013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Minergie-P-/Passivhaus-Standard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hochwertige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besten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U-Werten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0.08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0.12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spacing w:val="-5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Energieverluste</w:t>
      </w:r>
      <w:r>
        <w:rPr>
          <w:rFonts w:ascii="Theinhardt Bold" w:hAnsi="Theinhardt Bold" w:cs="Theinhardt Bold" w:eastAsia="Theinhardt Bold"/>
          <w:b/>
          <w:bCs/>
          <w:spacing w:val="8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88%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wandelt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einstige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„Energieschleuder“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Gesamtenergieverbrauch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502’900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urbanen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Vorzeige-PlusEnergie-Hochbau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um.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PV-Fassaden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sorg-</w:t>
      </w:r>
      <w:r>
        <w:rPr>
          <w:rFonts w:ascii="Theinhardt Bold" w:hAnsi="Theinhardt Bold" w:cs="Theinhardt Bold" w:eastAsia="Theinhardt Bold"/>
          <w:b/>
          <w:bCs/>
          <w:spacing w:val="9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fältig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integriert.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fassadenintegrierten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54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kWp-PV-Anlagen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solarthermische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Dachanlage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71’100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Beim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7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62’500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Palazzo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Positivo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Eigenenergieversorgung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114%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114%-PEB-MFH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Pal.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Positivo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8"/>
          <w:sz w:val="40"/>
        </w:rPr>
        <w:t>a</w:t>
      </w:r>
      <w:r>
        <w:rPr>
          <w:rFonts w:ascii="Theinhardt Black"/>
          <w:b/>
          <w:color w:val="0067B1"/>
          <w:spacing w:val="12"/>
          <w:sz w:val="40"/>
        </w:rPr>
        <w:t>s</w:t>
      </w:r>
      <w:r>
        <w:rPr>
          <w:rFonts w:ascii="Theinhardt Black"/>
          <w:b/>
          <w:color w:val="0067B1"/>
          <w:spacing w:val="2"/>
          <w:sz w:val="40"/>
        </w:rPr>
        <w:t>s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-29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6830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Chiasso/TI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2"/>
        <w:spacing w:line="230" w:lineRule="exact" w:before="52"/>
        <w:ind w:right="7" w:firstLine="0"/>
        <w:jc w:val="both"/>
      </w:pPr>
      <w:r>
        <w:rPr/>
        <w:t>Der</w:t>
      </w:r>
      <w:r>
        <w:rPr>
          <w:spacing w:val="4"/>
        </w:rPr>
        <w:t> </w:t>
      </w:r>
      <w:r>
        <w:rPr/>
        <w:t>Hochbau</w:t>
      </w:r>
      <w:r>
        <w:rPr>
          <w:spacing w:val="4"/>
        </w:rPr>
        <w:t> </w:t>
      </w:r>
      <w:r>
        <w:rPr>
          <w:spacing w:val="-1"/>
        </w:rPr>
        <w:t>Palazzo</w:t>
      </w:r>
      <w:r>
        <w:rPr>
          <w:spacing w:val="4"/>
        </w:rPr>
        <w:t> </w:t>
      </w:r>
      <w:r>
        <w:rPr>
          <w:spacing w:val="-1"/>
        </w:rPr>
        <w:t>Positivo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1965</w:t>
      </w:r>
      <w:r>
        <w:rPr>
          <w:spacing w:val="4"/>
        </w:rPr>
        <w:t> </w:t>
      </w:r>
      <w:r>
        <w:rPr/>
        <w:t>im</w:t>
      </w:r>
      <w:r>
        <w:rPr>
          <w:spacing w:val="24"/>
        </w:rPr>
        <w:t> </w:t>
      </w:r>
      <w:r>
        <w:rPr>
          <w:spacing w:val="-1"/>
        </w:rPr>
        <w:t>urbanen</w:t>
      </w:r>
      <w:r>
        <w:rPr>
          <w:spacing w:val="2"/>
        </w:rPr>
        <w:t> </w:t>
      </w:r>
      <w:r>
        <w:rPr>
          <w:spacing w:val="-1"/>
        </w:rPr>
        <w:t>Chiasso</w:t>
      </w:r>
      <w:r>
        <w:rPr>
          <w:spacing w:val="2"/>
        </w:rPr>
        <w:t> </w:t>
      </w:r>
      <w:r>
        <w:rPr>
          <w:spacing w:val="-1"/>
        </w:rPr>
        <w:t>war</w:t>
      </w:r>
      <w:r>
        <w:rPr>
          <w:spacing w:val="2"/>
        </w:rPr>
        <w:t> </w:t>
      </w:r>
      <w:r>
        <w:rPr/>
        <w:t>vor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Sanierung</w:t>
      </w:r>
      <w:r>
        <w:rPr>
          <w:spacing w:val="2"/>
        </w:rPr>
        <w:t> </w:t>
      </w:r>
      <w:r>
        <w:rPr/>
        <w:t>ein</w:t>
      </w:r>
      <w:r>
        <w:rPr>
          <w:spacing w:val="30"/>
        </w:rPr>
        <w:t> </w:t>
      </w:r>
      <w:r>
        <w:rPr>
          <w:spacing w:val="-1"/>
        </w:rPr>
        <w:t>energiefressender</w:t>
      </w:r>
      <w:r>
        <w:rPr>
          <w:spacing w:val="31"/>
        </w:rPr>
        <w:t> </w:t>
      </w:r>
      <w:r>
        <w:rPr>
          <w:spacing w:val="-2"/>
        </w:rPr>
        <w:t>Wohnkomplex.</w:t>
      </w:r>
      <w:r>
        <w:rPr>
          <w:spacing w:val="20"/>
        </w:rPr>
        <w:t> </w:t>
      </w:r>
      <w:r>
        <w:rPr>
          <w:spacing w:val="1"/>
        </w:rPr>
        <w:t>Da</w:t>
      </w:r>
      <w:r>
        <w:rPr>
          <w:spacing w:val="32"/>
        </w:rPr>
        <w:t> </w:t>
      </w:r>
      <w:r>
        <w:rPr/>
        <w:t>die</w:t>
      </w:r>
      <w:r>
        <w:rPr>
          <w:spacing w:val="27"/>
        </w:rPr>
        <w:t> </w:t>
      </w:r>
      <w:r>
        <w:rPr/>
        <w:t>Bauherrschaft</w:t>
      </w:r>
      <w:r>
        <w:rPr>
          <w:spacing w:val="14"/>
        </w:rPr>
        <w:t> </w:t>
      </w:r>
      <w:r>
        <w:rPr/>
        <w:t>einen</w:t>
      </w:r>
      <w:r>
        <w:rPr>
          <w:spacing w:val="14"/>
        </w:rPr>
        <w:t> </w:t>
      </w:r>
      <w:r>
        <w:rPr>
          <w:spacing w:val="-1"/>
        </w:rPr>
        <w:t>PlusEnergieBau</w:t>
      </w:r>
      <w:r>
        <w:rPr>
          <w:spacing w:val="14"/>
        </w:rPr>
        <w:t> </w:t>
      </w:r>
      <w:r>
        <w:rPr>
          <w:spacing w:val="-2"/>
        </w:rPr>
        <w:t>(PEB)</w:t>
      </w:r>
      <w:r>
        <w:rPr>
          <w:spacing w:val="49"/>
        </w:rPr>
        <w:t> </w:t>
      </w:r>
      <w:r>
        <w:rPr/>
        <w:t>vorsah,</w:t>
      </w:r>
      <w:r>
        <w:rPr>
          <w:spacing w:val="5"/>
        </w:rPr>
        <w:t> </w:t>
      </w:r>
      <w:r>
        <w:rPr>
          <w:spacing w:val="-2"/>
        </w:rPr>
        <w:t>wurde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>
          <w:spacing w:val="-1"/>
        </w:rPr>
        <w:t>Energiebedarf</w:t>
      </w:r>
      <w:r>
        <w:rPr>
          <w:spacing w:val="16"/>
        </w:rPr>
        <w:t> </w:t>
      </w:r>
      <w:r>
        <w:rPr/>
        <w:t>mittels</w:t>
      </w:r>
      <w:r>
        <w:rPr>
          <w:spacing w:val="42"/>
        </w:rPr>
        <w:t> </w:t>
      </w:r>
      <w:r>
        <w:rPr/>
        <w:t>vorbildlicher </w:t>
      </w:r>
      <w:r>
        <w:rPr>
          <w:spacing w:val="-1"/>
        </w:rPr>
        <w:t>Wärmedämmung</w:t>
      </w:r>
      <w:r>
        <w:rPr/>
        <w:t> massiv </w:t>
      </w:r>
      <w:r>
        <w:rPr>
          <w:spacing w:val="-2"/>
        </w:rPr>
        <w:t>redu-</w:t>
      </w:r>
      <w:r>
        <w:rPr>
          <w:spacing w:val="29"/>
        </w:rPr>
        <w:t> </w:t>
      </w:r>
      <w:r>
        <w:rPr>
          <w:spacing w:val="1"/>
        </w:rPr>
        <w:t>ziert.</w:t>
      </w:r>
      <w:r>
        <w:rPr>
          <w:spacing w:val="-23"/>
        </w:rPr>
        <w:t> </w:t>
      </w:r>
      <w:r>
        <w:rPr/>
        <w:t>Um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/>
        <w:t>bleibenden</w:t>
      </w:r>
      <w:r>
        <w:rPr>
          <w:spacing w:val="-13"/>
        </w:rPr>
        <w:t> </w:t>
      </w:r>
      <w:r>
        <w:rPr>
          <w:spacing w:val="-1"/>
        </w:rPr>
        <w:t>Energiebedarf</w:t>
      </w:r>
      <w:r>
        <w:rPr>
          <w:spacing w:val="-13"/>
        </w:rPr>
        <w:t> </w:t>
      </w:r>
      <w:r>
        <w:rPr/>
        <w:t>von</w:t>
      </w:r>
      <w:r>
        <w:rPr>
          <w:spacing w:val="28"/>
        </w:rPr>
        <w:t> </w:t>
      </w:r>
      <w:r>
        <w:rPr/>
        <w:t>62’500</w:t>
      </w:r>
      <w:r>
        <w:rPr>
          <w:spacing w:val="-6"/>
        </w:rPr>
        <w:t> </w:t>
      </w:r>
      <w:r>
        <w:rPr/>
        <w:t>kWh</w:t>
      </w:r>
      <w:r>
        <w:rPr>
          <w:spacing w:val="-6"/>
        </w:rPr>
        <w:t> </w:t>
      </w:r>
      <w:r>
        <w:rPr>
          <w:spacing w:val="-2"/>
        </w:rPr>
        <w:t>pro</w:t>
      </w:r>
      <w:r>
        <w:rPr>
          <w:spacing w:val="-6"/>
        </w:rPr>
        <w:t> </w:t>
      </w:r>
      <w:r>
        <w:rPr/>
        <w:t>Jahr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>
          <w:spacing w:val="-1"/>
        </w:rPr>
        <w:t>decken,</w:t>
      </w:r>
      <w:r>
        <w:rPr>
          <w:spacing w:val="-17"/>
        </w:rPr>
        <w:t> </w:t>
      </w:r>
      <w:r>
        <w:rPr>
          <w:spacing w:val="1"/>
        </w:rPr>
        <w:t>setzte</w:t>
      </w:r>
      <w:r>
        <w:rPr>
          <w:spacing w:val="-6"/>
        </w:rPr>
        <w:t> </w:t>
      </w:r>
      <w:r>
        <w:rPr>
          <w:spacing w:val="-1"/>
        </w:rPr>
        <w:t>man</w:t>
      </w:r>
      <w:r>
        <w:rPr>
          <w:spacing w:val="25"/>
        </w:rPr>
        <w:t> </w:t>
      </w:r>
      <w:r>
        <w:rPr/>
        <w:t>vollständig</w:t>
      </w:r>
      <w:r>
        <w:rPr>
          <w:spacing w:val="26"/>
        </w:rPr>
        <w:t> </w:t>
      </w:r>
      <w:r>
        <w:rPr/>
        <w:t>auf</w:t>
      </w:r>
      <w:r>
        <w:rPr>
          <w:spacing w:val="27"/>
        </w:rPr>
        <w:t> </w:t>
      </w:r>
      <w:r>
        <w:rPr>
          <w:spacing w:val="-1"/>
        </w:rPr>
        <w:t>Solarenergie.</w:t>
      </w:r>
      <w:r>
        <w:rPr>
          <w:spacing w:val="16"/>
        </w:rPr>
        <w:t> </w:t>
      </w:r>
      <w:r>
        <w:rPr>
          <w:spacing w:val="-1"/>
        </w:rPr>
        <w:t>Aufgrund</w:t>
      </w:r>
      <w:r>
        <w:rPr>
          <w:spacing w:val="26"/>
        </w:rPr>
        <w:t> </w:t>
      </w:r>
      <w:r>
        <w:rPr/>
        <w:t>der</w:t>
      </w:r>
      <w:r>
        <w:rPr>
          <w:spacing w:val="28"/>
        </w:rPr>
        <w:t> </w:t>
      </w:r>
      <w:r>
        <w:rPr>
          <w:spacing w:val="-1"/>
        </w:rPr>
        <w:t>städtischen</w:t>
      </w:r>
      <w:r>
        <w:rPr>
          <w:spacing w:val="14"/>
        </w:rPr>
        <w:t> </w:t>
      </w:r>
      <w:r>
        <w:rPr>
          <w:spacing w:val="-1"/>
        </w:rPr>
        <w:t>Verschattung</w:t>
      </w:r>
      <w:r>
        <w:rPr>
          <w:spacing w:val="24"/>
        </w:rPr>
        <w:t> </w:t>
      </w:r>
      <w:r>
        <w:rPr/>
        <w:t>der</w:t>
      </w:r>
      <w:r>
        <w:rPr>
          <w:spacing w:val="25"/>
        </w:rPr>
        <w:t> </w:t>
      </w:r>
      <w:r>
        <w:rPr/>
        <w:t>Hochbaufas-</w:t>
      </w:r>
      <w:r>
        <w:rPr>
          <w:spacing w:val="31"/>
        </w:rPr>
        <w:t> </w:t>
      </w:r>
      <w:r>
        <w:rPr>
          <w:spacing w:val="-1"/>
        </w:rPr>
        <w:t>saden</w:t>
      </w:r>
      <w:r>
        <w:rPr>
          <w:spacing w:val="43"/>
        </w:rPr>
        <w:t> </w:t>
      </w:r>
      <w:r>
        <w:rPr/>
        <w:t>und</w:t>
      </w:r>
      <w:r>
        <w:rPr>
          <w:spacing w:val="44"/>
        </w:rPr>
        <w:t> </w:t>
      </w:r>
      <w:r>
        <w:rPr/>
        <w:t>aus</w:t>
      </w:r>
      <w:r>
        <w:rPr>
          <w:spacing w:val="43"/>
        </w:rPr>
        <w:t> </w:t>
      </w:r>
      <w:r>
        <w:rPr/>
        <w:t>finanziellen</w:t>
      </w:r>
      <w:r>
        <w:rPr>
          <w:spacing w:val="44"/>
        </w:rPr>
        <w:t> </w:t>
      </w:r>
      <w:r>
        <w:rPr/>
        <w:t>Gründen</w:t>
      </w:r>
      <w:r>
        <w:rPr>
          <w:spacing w:val="44"/>
        </w:rPr>
        <w:t> </w:t>
      </w:r>
      <w:r>
        <w:rPr/>
        <w:t>ent-</w:t>
      </w:r>
      <w:r>
        <w:rPr>
          <w:spacing w:val="25"/>
        </w:rPr>
        <w:t> </w:t>
      </w:r>
      <w:r>
        <w:rPr>
          <w:spacing w:val="-1"/>
        </w:rPr>
        <w:t>schied</w:t>
      </w:r>
      <w:r>
        <w:rPr>
          <w:spacing w:val="-2"/>
        </w:rPr>
        <w:t> </w:t>
      </w:r>
      <w:r>
        <w:rPr>
          <w:spacing w:val="-1"/>
        </w:rPr>
        <w:t>man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bei</w:t>
      </w:r>
      <w:r>
        <w:rPr>
          <w:spacing w:val="-2"/>
        </w:rPr>
        <w:t> drei </w:t>
      </w:r>
      <w:r>
        <w:rPr/>
        <w:t>von</w:t>
      </w:r>
      <w:r>
        <w:rPr>
          <w:spacing w:val="-2"/>
        </w:rPr>
        <w:t> </w:t>
      </w:r>
      <w:r>
        <w:rPr/>
        <w:t>vier</w:t>
      </w:r>
      <w:r>
        <w:rPr>
          <w:spacing w:val="-2"/>
        </w:rPr>
        <w:t> </w:t>
      </w:r>
      <w:r>
        <w:rPr>
          <w:spacing w:val="-1"/>
        </w:rPr>
        <w:t>Fassaden-</w:t>
      </w:r>
      <w:r>
        <w:rPr>
          <w:spacing w:val="21"/>
        </w:rPr>
        <w:t> </w:t>
      </w:r>
      <w:r>
        <w:rPr>
          <w:spacing w:val="-1"/>
        </w:rPr>
        <w:t>anlagen</w:t>
      </w:r>
      <w:r>
        <w:rPr>
          <w:spacing w:val="36"/>
        </w:rPr>
        <w:t> </w:t>
      </w:r>
      <w:r>
        <w:rPr/>
        <w:t>für</w:t>
      </w:r>
      <w:r>
        <w:rPr>
          <w:spacing w:val="37"/>
        </w:rPr>
        <w:t> </w:t>
      </w:r>
      <w:r>
        <w:rPr/>
        <w:t>günstige</w:t>
      </w:r>
      <w:r>
        <w:rPr>
          <w:spacing w:val="36"/>
        </w:rPr>
        <w:t> </w:t>
      </w:r>
      <w:r>
        <w:rPr/>
        <w:t>Dünnfilmmodule</w:t>
      </w:r>
      <w:r>
        <w:rPr>
          <w:spacing w:val="37"/>
        </w:rPr>
        <w:t> </w:t>
      </w:r>
      <w:r>
        <w:rPr/>
        <w:t>mit</w:t>
      </w:r>
      <w:r>
        <w:rPr>
          <w:spacing w:val="26"/>
        </w:rPr>
        <w:t> </w:t>
      </w:r>
      <w:r>
        <w:rPr>
          <w:spacing w:val="-1"/>
        </w:rPr>
        <w:t>niedrigerem</w:t>
      </w:r>
      <w:r>
        <w:rPr/>
        <w:t> </w:t>
      </w:r>
      <w:r>
        <w:rPr>
          <w:spacing w:val="-1"/>
        </w:rPr>
        <w:t>Energieertrag.</w:t>
      </w:r>
    </w:p>
    <w:p>
      <w:pPr>
        <w:spacing w:line="230" w:lineRule="exact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Kombispeicher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Wärmepum-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z w:val="18"/>
        </w:rPr>
        <w:t>pe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(WP)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decken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Heiz-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-1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Warmwasser-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bedarf.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z w:val="18"/>
        </w:rPr>
        <w:t>Ein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semizentrales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Lüftungssystem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steuert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Frischluftzufuhr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sichert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z w:val="18"/>
        </w:rPr>
        <w:t>hocheffiziente</w:t>
      </w:r>
      <w:r>
        <w:rPr>
          <w:rFonts w:ascii="Theinhardt Regular" w:hAnsi="Theinhardt Regular"/>
          <w:spacing w:val="-1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Versorgung</w:t>
      </w:r>
      <w:r>
        <w:rPr>
          <w:rFonts w:ascii="Theinhardt Regular" w:hAnsi="Theinhardt Regular"/>
          <w:sz w:val="18"/>
        </w:rPr>
        <w:t> des Gebäudes.</w:t>
      </w:r>
    </w:p>
    <w:p>
      <w:pPr>
        <w:spacing w:line="232" w:lineRule="auto" w:before="15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z w:val="18"/>
          <w:szCs w:val="18"/>
        </w:rPr>
        <w:t>Zum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grossen</w:t>
      </w:r>
      <w:r>
        <w:rPr>
          <w:rFonts w:ascii="Theinhardt Regular" w:hAnsi="Theinhardt Regular" w:cs="Theinhardt Regular" w:eastAsia="Theinhardt Regular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Vorteil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gereicht,</w:t>
      </w:r>
      <w:r>
        <w:rPr>
          <w:rFonts w:ascii="Theinhardt Regular" w:hAnsi="Theinhardt Regular" w:cs="Theinhardt Regular" w:eastAsia="Theinhardt Regular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dass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beina-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alle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Flächen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Gebäudehülle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Son-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nenenergienutzung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dienen.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Fünf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verschie-</w:t>
      </w:r>
      <w:r>
        <w:rPr>
          <w:rFonts w:ascii="Theinhardt Regular" w:hAnsi="Theinhardt Regular" w:cs="Theinhardt Regular" w:eastAsia="Theinhardt Regular"/>
          <w:spacing w:val="5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PV-Anlagen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gewährleisten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hohe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Stromproduktion.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Hervorzuheben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sind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vor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allem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monokristalline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Anlage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Südfassade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inkl.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PV-Balkonbrüstungen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36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kWp-PV-Anlage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auf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Dach, wel-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che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53%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Energiebedarfs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deckt.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Durch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umfassende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Nutzung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solaren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Ener-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giepotentials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vorbildlichen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dämmung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avanciert</w:t>
      </w:r>
      <w:r>
        <w:rPr>
          <w:rFonts w:ascii="Theinhardt Regular" w:hAnsi="Theinhardt Regular" w:cs="Theinhardt Regular" w:eastAsia="Theinhardt Regular"/>
          <w:sz w:val="18"/>
          <w:szCs w:val="18"/>
        </w:rPr>
        <w:t> das Gebäude zu einem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PEB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Eigenenergieversorgung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30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71’100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kWh/a.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erzeugt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14%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mehr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Ener-</w:t>
      </w:r>
      <w:r>
        <w:rPr>
          <w:rFonts w:ascii="Theinhardt Regular" w:hAnsi="Theinhardt Regular" w:cs="Theinhardt Regular" w:eastAsia="Theinhardt Regular"/>
          <w:spacing w:val="20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gie,</w:t>
      </w:r>
      <w:r>
        <w:rPr>
          <w:rFonts w:ascii="Theinhardt Regular" w:hAnsi="Theinhardt Regular" w:cs="Theinhardt Regular" w:eastAsia="Theinhardt Regular"/>
          <w:spacing w:val="-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es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Jahresdurchschnitt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verbraucht.</w:t>
      </w:r>
      <w:r>
        <w:rPr>
          <w:rFonts w:ascii="Theinhardt Regular" w:hAnsi="Theinhardt Regular" w:cs="Theinhardt Regular" w:eastAsia="Theinhardt Regular"/>
          <w:spacing w:val="28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Solarstromüberschuss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8’660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23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ins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öffentliche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Netz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eingespeist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26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würde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ausreichen,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um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Elektroautos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je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17’000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km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emissionsfrei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zu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fah-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ren.</w:t>
      </w:r>
    </w:p>
    <w:p>
      <w:pPr>
        <w:spacing w:line="232" w:lineRule="auto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Palazzo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Positivo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zeigt,</w:t>
      </w:r>
      <w:r>
        <w:rPr>
          <w:rFonts w:ascii="Theinhardt Regular" w:hAnsi="Theinhardt Regular"/>
          <w:spacing w:val="-20"/>
          <w:sz w:val="18"/>
        </w:rPr>
        <w:t> </w:t>
      </w:r>
      <w:r>
        <w:rPr>
          <w:rFonts w:ascii="Theinhardt Regular" w:hAnsi="Theinhardt Regular"/>
          <w:sz w:val="18"/>
        </w:rPr>
        <w:t>dass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durch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ein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z w:val="18"/>
        </w:rPr>
        <w:t>intelligentes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Energiekonzept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auch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ein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urba-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ner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Hochbau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zum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vorbildlichen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PEB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saniert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werden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kann.</w:t>
      </w:r>
      <w:r>
        <w:rPr>
          <w:rFonts w:ascii="Theinhardt Regular" w:hAnsi="Theinhardt Regular"/>
          <w:spacing w:val="-21"/>
          <w:sz w:val="18"/>
        </w:rPr>
        <w:t> </w:t>
      </w:r>
      <w:r>
        <w:rPr>
          <w:rFonts w:ascii="Theinhardt Regular" w:hAnsi="Theinhardt Regular"/>
          <w:sz w:val="18"/>
        </w:rPr>
        <w:t>Deshalb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erhält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er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zer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2014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Norman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Foster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Solar </w:t>
      </w:r>
      <w:r>
        <w:rPr>
          <w:rFonts w:ascii="Theinhardt Regular" w:hAnsi="Theinhardt Regular"/>
          <w:spacing w:val="-1"/>
          <w:sz w:val="18"/>
        </w:rPr>
        <w:t>Award-Diplom</w:t>
      </w:r>
      <w:r>
        <w:rPr>
          <w:rFonts w:ascii="Theinhardt Regular" w:hAnsi="Theinhardt Regular"/>
          <w:sz w:val="18"/>
        </w:rPr>
        <w:t> 2014.</w:t>
      </w:r>
    </w:p>
    <w:p>
      <w:pPr>
        <w:pStyle w:val="BodyText"/>
        <w:spacing w:line="230" w:lineRule="exact" w:before="52"/>
        <w:ind w:right="4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Le</w:t>
      </w:r>
      <w:r>
        <w:rPr>
          <w:spacing w:val="-8"/>
        </w:rPr>
        <w:t> </w:t>
      </w:r>
      <w:r>
        <w:rPr>
          <w:spacing w:val="-1"/>
        </w:rPr>
        <w:t>Palazzo</w:t>
      </w:r>
      <w:r>
        <w:rPr>
          <w:spacing w:val="-8"/>
        </w:rPr>
        <w:t> </w:t>
      </w:r>
      <w:r>
        <w:rPr>
          <w:spacing w:val="-1"/>
        </w:rPr>
        <w:t>Positivo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1"/>
        </w:rPr>
        <w:t>Chiasso</w:t>
      </w:r>
      <w:r>
        <w:rPr>
          <w:spacing w:val="-8"/>
        </w:rPr>
        <w:t> </w:t>
      </w:r>
      <w:r>
        <w:rPr/>
        <w:t>était,</w:t>
      </w:r>
      <w:r>
        <w:rPr>
          <w:spacing w:val="-15"/>
        </w:rPr>
        <w:t> </w:t>
      </w:r>
      <w:r>
        <w:rPr>
          <w:spacing w:val="-1"/>
        </w:rPr>
        <w:t>avant</w:t>
      </w:r>
      <w:r>
        <w:rPr>
          <w:spacing w:val="-8"/>
        </w:rPr>
        <w:t> </w:t>
      </w:r>
      <w:r>
        <w:rPr/>
        <w:t>sa</w:t>
      </w:r>
      <w:r>
        <w:rPr>
          <w:spacing w:val="41"/>
        </w:rPr>
        <w:t> </w:t>
      </w:r>
      <w:r>
        <w:rPr>
          <w:spacing w:val="-2"/>
        </w:rPr>
        <w:t>rénovation,</w:t>
      </w:r>
      <w:r>
        <w:rPr>
          <w:spacing w:val="15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-1"/>
        </w:rPr>
        <w:t>immeuble</w:t>
      </w:r>
      <w:r>
        <w:rPr>
          <w:spacing w:val="22"/>
        </w:rPr>
        <w:t> </w:t>
      </w:r>
      <w:r>
        <w:rPr>
          <w:spacing w:val="-2"/>
        </w:rPr>
        <w:t>résidentiel</w:t>
      </w:r>
      <w:r>
        <w:rPr>
          <w:spacing w:val="22"/>
        </w:rPr>
        <w:t> </w:t>
      </w:r>
      <w:r>
        <w:rPr>
          <w:spacing w:val="-2"/>
        </w:rPr>
        <w:t>énergi-</w:t>
      </w:r>
      <w:r>
        <w:rPr>
          <w:spacing w:val="47"/>
        </w:rPr>
        <w:t> </w:t>
      </w:r>
      <w:r>
        <w:rPr>
          <w:spacing w:val="-2"/>
        </w:rPr>
        <w:t>vore</w:t>
      </w:r>
      <w:r>
        <w:rPr>
          <w:spacing w:val="10"/>
        </w:rPr>
        <w:t> </w:t>
      </w:r>
      <w:r>
        <w:rPr/>
        <w:t>datant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/>
        <w:t>1965.</w:t>
      </w:r>
      <w:r>
        <w:rPr>
          <w:spacing w:val="2"/>
        </w:rPr>
        <w:t> </w:t>
      </w:r>
      <w:r>
        <w:rPr>
          <w:spacing w:val="-1"/>
        </w:rPr>
        <w:t>Son</w:t>
      </w:r>
      <w:r>
        <w:rPr>
          <w:spacing w:val="10"/>
        </w:rPr>
        <w:t> </w:t>
      </w:r>
      <w:r>
        <w:rPr>
          <w:spacing w:val="-1"/>
        </w:rPr>
        <w:t>propriétaire</w:t>
      </w:r>
      <w:r>
        <w:rPr>
          <w:spacing w:val="10"/>
        </w:rPr>
        <w:t> </w:t>
      </w:r>
      <w:r>
        <w:rPr/>
        <w:t>visait</w:t>
      </w:r>
      <w:r>
        <w:rPr>
          <w:spacing w:val="27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réalisation</w:t>
      </w:r>
      <w:r>
        <w:rPr>
          <w:spacing w:val="-12"/>
        </w:rPr>
        <w:t> </w:t>
      </w:r>
      <w:r>
        <w:rPr/>
        <w:t>d’un</w:t>
      </w:r>
      <w:r>
        <w:rPr>
          <w:spacing w:val="-12"/>
        </w:rPr>
        <w:t> </w:t>
      </w:r>
      <w:r>
        <w:rPr>
          <w:spacing w:val="-1"/>
        </w:rPr>
        <w:t>bâtiment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>
          <w:spacing w:val="-2"/>
        </w:rPr>
        <w:t>énergie</w:t>
      </w:r>
      <w:r>
        <w:rPr>
          <w:spacing w:val="-12"/>
        </w:rPr>
        <w:t> </w:t>
      </w:r>
      <w:r>
        <w:rPr>
          <w:spacing w:val="-1"/>
        </w:rPr>
        <w:t>positive</w:t>
      </w:r>
      <w:r>
        <w:rPr>
          <w:spacing w:val="37"/>
        </w:rPr>
        <w:t> </w:t>
      </w:r>
      <w:r>
        <w:rPr>
          <w:spacing w:val="-1"/>
        </w:rPr>
        <w:t>(BEP):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besoins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2"/>
        </w:rPr>
        <w:t>énergie</w:t>
      </w:r>
      <w:r>
        <w:rPr>
          <w:spacing w:val="4"/>
        </w:rPr>
        <w:t> </w:t>
      </w:r>
      <w:r>
        <w:rPr/>
        <w:t>ont</w:t>
      </w:r>
      <w:r>
        <w:rPr>
          <w:spacing w:val="4"/>
        </w:rPr>
        <w:t> </w:t>
      </w:r>
      <w:r>
        <w:rPr>
          <w:spacing w:val="-2"/>
        </w:rPr>
        <w:t>donc</w:t>
      </w:r>
      <w:r>
        <w:rPr>
          <w:spacing w:val="4"/>
        </w:rPr>
        <w:t> </w:t>
      </w:r>
      <w:r>
        <w:rPr>
          <w:spacing w:val="-1"/>
        </w:rPr>
        <w:t>con-</w:t>
      </w:r>
      <w:r>
        <w:rPr>
          <w:spacing w:val="31"/>
        </w:rPr>
        <w:t> </w:t>
      </w:r>
      <w:r>
        <w:rPr>
          <w:spacing w:val="-1"/>
        </w:rPr>
        <w:t>sidérablement</w:t>
      </w:r>
      <w:r>
        <w:rPr>
          <w:spacing w:val="33"/>
        </w:rPr>
        <w:t> </w:t>
      </w:r>
      <w:r>
        <w:rPr>
          <w:spacing w:val="-1"/>
        </w:rPr>
        <w:t>diminué</w:t>
      </w:r>
      <w:r>
        <w:rPr>
          <w:spacing w:val="34"/>
        </w:rPr>
        <w:t> </w:t>
      </w:r>
      <w:r>
        <w:rPr>
          <w:spacing w:val="-1"/>
        </w:rPr>
        <w:t>grâce</w:t>
      </w:r>
      <w:r>
        <w:rPr>
          <w:spacing w:val="33"/>
        </w:rPr>
        <w:t> </w:t>
      </w:r>
      <w:r>
        <w:rPr/>
        <w:t>à</w:t>
      </w:r>
      <w:r>
        <w:rPr>
          <w:spacing w:val="34"/>
        </w:rPr>
        <w:t> </w:t>
      </w:r>
      <w:r>
        <w:rPr>
          <w:spacing w:val="-1"/>
        </w:rPr>
        <w:t>une</w:t>
      </w:r>
      <w:r>
        <w:rPr>
          <w:spacing w:val="34"/>
        </w:rPr>
        <w:t> </w:t>
      </w:r>
      <w:r>
        <w:rPr>
          <w:spacing w:val="-1"/>
        </w:rPr>
        <w:t>bonne</w:t>
      </w:r>
      <w:r>
        <w:rPr>
          <w:spacing w:val="30"/>
        </w:rPr>
        <w:t> </w:t>
      </w:r>
      <w:r>
        <w:rPr>
          <w:spacing w:val="-1"/>
        </w:rPr>
        <w:t>isolation</w:t>
      </w:r>
      <w:r>
        <w:rPr>
          <w:spacing w:val="8"/>
        </w:rPr>
        <w:t> </w:t>
      </w:r>
      <w:r>
        <w:rPr>
          <w:spacing w:val="-2"/>
        </w:rPr>
        <w:t>thermique.</w:t>
      </w:r>
      <w:r>
        <w:rPr>
          <w:spacing w:val="1"/>
        </w:rPr>
        <w:t> </w:t>
      </w:r>
      <w:r>
        <w:rPr/>
        <w:t>Il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été</w:t>
      </w:r>
      <w:r>
        <w:rPr>
          <w:spacing w:val="8"/>
        </w:rPr>
        <w:t> </w:t>
      </w:r>
      <w:r>
        <w:rPr>
          <w:spacing w:val="-3"/>
        </w:rPr>
        <w:t>décidé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miser</w:t>
      </w:r>
      <w:r>
        <w:rPr>
          <w:spacing w:val="49"/>
        </w:rPr>
        <w:t> </w:t>
      </w:r>
      <w:r>
        <w:rPr>
          <w:spacing w:val="-1"/>
        </w:rPr>
        <w:t>intégralement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>
          <w:spacing w:val="-2"/>
        </w:rPr>
        <w:t>le</w:t>
      </w:r>
      <w:r>
        <w:rPr>
          <w:spacing w:val="-6"/>
        </w:rPr>
        <w:t> </w:t>
      </w:r>
      <w:r>
        <w:rPr>
          <w:spacing w:val="-1"/>
        </w:rPr>
        <w:t>solaire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produire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/>
        <w:t>62’500</w:t>
      </w:r>
      <w:r>
        <w:rPr>
          <w:spacing w:val="39"/>
        </w:rPr>
        <w:t> </w:t>
      </w:r>
      <w:r>
        <w:rPr>
          <w:spacing w:val="-3"/>
        </w:rPr>
        <w:t>kWh/a</w:t>
      </w:r>
      <w:r>
        <w:rPr>
          <w:spacing w:val="40"/>
        </w:rPr>
        <w:t> </w:t>
      </w:r>
      <w:r>
        <w:rPr>
          <w:spacing w:val="-2"/>
        </w:rPr>
        <w:t>encore</w:t>
      </w:r>
      <w:r>
        <w:rPr>
          <w:spacing w:val="39"/>
        </w:rPr>
        <w:t> </w:t>
      </w:r>
      <w:r>
        <w:rPr>
          <w:spacing w:val="-1"/>
        </w:rPr>
        <w:t>nécessaires.</w:t>
      </w:r>
      <w:r>
        <w:rPr>
          <w:spacing w:val="26"/>
        </w:rPr>
        <w:t> </w:t>
      </w:r>
      <w:r>
        <w:rPr>
          <w:spacing w:val="-1"/>
        </w:rPr>
        <w:t>Vu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ombres</w:t>
      </w:r>
      <w:r>
        <w:rPr>
          <w:spacing w:val="-11"/>
        </w:rPr>
        <w:t> </w:t>
      </w:r>
      <w:r>
        <w:rPr/>
        <w:t>portées</w:t>
      </w:r>
      <w:r>
        <w:rPr>
          <w:spacing w:val="-11"/>
        </w:rPr>
        <w:t> </w:t>
      </w:r>
      <w:r>
        <w:rPr>
          <w:spacing w:val="-1"/>
        </w:rPr>
        <w:t>des</w:t>
      </w:r>
      <w:r>
        <w:rPr>
          <w:spacing w:val="-11"/>
        </w:rPr>
        <w:t> </w:t>
      </w:r>
      <w:r>
        <w:rPr>
          <w:spacing w:val="-1"/>
        </w:rPr>
        <w:t>autres</w:t>
      </w:r>
      <w:r>
        <w:rPr>
          <w:spacing w:val="-11"/>
        </w:rPr>
        <w:t> </w:t>
      </w:r>
      <w:r>
        <w:rPr>
          <w:spacing w:val="-1"/>
        </w:rPr>
        <w:t>bâtiments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pour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/>
        <w:t>raisons</w:t>
      </w:r>
      <w:r>
        <w:rPr>
          <w:spacing w:val="-11"/>
        </w:rPr>
        <w:t> </w:t>
      </w:r>
      <w:r>
        <w:rPr>
          <w:spacing w:val="-1"/>
        </w:rPr>
        <w:t>financières,</w:t>
      </w:r>
      <w:r>
        <w:rPr>
          <w:spacing w:val="-18"/>
        </w:rPr>
        <w:t> </w:t>
      </w:r>
      <w:r>
        <w:rPr>
          <w:spacing w:val="-1"/>
        </w:rPr>
        <w:t>trois</w:t>
      </w:r>
      <w:r>
        <w:rPr>
          <w:spacing w:val="-11"/>
        </w:rPr>
        <w:t> </w:t>
      </w:r>
      <w:r>
        <w:rPr>
          <w:spacing w:val="-1"/>
        </w:rPr>
        <w:t>des</w:t>
      </w:r>
      <w:r>
        <w:rPr>
          <w:spacing w:val="-11"/>
        </w:rPr>
        <w:t> </w:t>
      </w:r>
      <w:r>
        <w:rPr>
          <w:spacing w:val="-1"/>
        </w:rPr>
        <w:t>quatre</w:t>
      </w:r>
      <w:r>
        <w:rPr>
          <w:spacing w:val="-11"/>
        </w:rPr>
        <w:t> </w:t>
      </w:r>
      <w:r>
        <w:rPr/>
        <w:t>faça-</w:t>
      </w:r>
      <w:r>
        <w:rPr>
          <w:spacing w:val="28"/>
        </w:rPr>
        <w:t> </w:t>
      </w:r>
      <w:r>
        <w:rPr>
          <w:spacing w:val="-1"/>
        </w:rPr>
        <w:t>des</w:t>
      </w:r>
      <w:r>
        <w:rPr>
          <w:spacing w:val="45"/>
        </w:rPr>
        <w:t> </w:t>
      </w:r>
      <w:r>
        <w:rPr>
          <w:spacing w:val="-1"/>
        </w:rPr>
        <w:t>sont</w:t>
      </w:r>
      <w:r>
        <w:rPr>
          <w:spacing w:val="46"/>
        </w:rPr>
        <w:t> </w:t>
      </w:r>
      <w:r>
        <w:rPr>
          <w:spacing w:val="-1"/>
        </w:rPr>
        <w:t>couvertes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46"/>
        </w:rPr>
        <w:t> </w:t>
      </w:r>
      <w:r>
        <w:rPr>
          <w:spacing w:val="-1"/>
        </w:rPr>
        <w:t>modules</w:t>
      </w:r>
      <w:r>
        <w:rPr>
          <w:spacing w:val="46"/>
        </w:rPr>
        <w:t> </w:t>
      </w:r>
      <w:r>
        <w:rPr/>
        <w:t>à</w:t>
      </w:r>
      <w:r>
        <w:rPr>
          <w:spacing w:val="45"/>
        </w:rPr>
        <w:t> </w:t>
      </w:r>
      <w:r>
        <w:rPr>
          <w:spacing w:val="-2"/>
        </w:rPr>
        <w:t>couche</w:t>
      </w:r>
      <w:r>
        <w:rPr>
          <w:spacing w:val="30"/>
        </w:rPr>
        <w:t> </w:t>
      </w:r>
      <w:r>
        <w:rPr>
          <w:spacing w:val="-2"/>
        </w:rPr>
        <w:t>mince</w:t>
      </w:r>
      <w:r>
        <w:rPr>
          <w:spacing w:val="4"/>
        </w:rPr>
        <w:t> </w:t>
      </w:r>
      <w:r>
        <w:rPr>
          <w:spacing w:val="-1"/>
        </w:rPr>
        <w:t>dont</w:t>
      </w:r>
      <w:r>
        <w:rPr>
          <w:spacing w:val="4"/>
        </w:rPr>
        <w:t> </w:t>
      </w:r>
      <w:r>
        <w:rPr>
          <w:spacing w:val="-2"/>
        </w:rPr>
        <w:t>le</w:t>
      </w:r>
      <w:r>
        <w:rPr>
          <w:spacing w:val="4"/>
        </w:rPr>
        <w:t> </w:t>
      </w:r>
      <w:r>
        <w:rPr/>
        <w:t>coût,</w:t>
      </w:r>
      <w:r>
        <w:rPr>
          <w:spacing w:val="-3"/>
        </w:rPr>
        <w:t> </w:t>
      </w:r>
      <w:r>
        <w:rPr/>
        <w:t>mais</w:t>
      </w:r>
      <w:r>
        <w:rPr>
          <w:spacing w:val="4"/>
        </w:rPr>
        <w:t> </w:t>
      </w:r>
      <w:r>
        <w:rPr/>
        <w:t>aussi</w:t>
      </w:r>
      <w:r>
        <w:rPr>
          <w:spacing w:val="4"/>
        </w:rPr>
        <w:t> </w:t>
      </w:r>
      <w:r>
        <w:rPr>
          <w:spacing w:val="-2"/>
        </w:rPr>
        <w:t>le</w:t>
      </w:r>
      <w:r>
        <w:rPr>
          <w:spacing w:val="4"/>
        </w:rPr>
        <w:t> </w:t>
      </w:r>
      <w:r>
        <w:rPr>
          <w:spacing w:val="-2"/>
        </w:rPr>
        <w:t>rendement</w:t>
      </w:r>
      <w:r>
        <w:rPr>
          <w:spacing w:val="25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inférieurs.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spacing w:val="-5"/>
        </w:rPr>
        <w:t>Le</w:t>
      </w:r>
      <w:r>
        <w:rPr>
          <w:spacing w:val="32"/>
        </w:rPr>
        <w:t> </w:t>
      </w:r>
      <w:r>
        <w:rPr/>
        <w:t>chauffe-eau</w:t>
      </w:r>
      <w:r>
        <w:rPr>
          <w:spacing w:val="33"/>
        </w:rPr>
        <w:t> </w:t>
      </w:r>
      <w:r>
        <w:rPr>
          <w:spacing w:val="-1"/>
        </w:rPr>
        <w:t>combiné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pompe</w:t>
      </w:r>
      <w:r>
        <w:rPr>
          <w:spacing w:val="32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chaleur</w:t>
      </w:r>
      <w:r>
        <w:rPr>
          <w:spacing w:val="-4"/>
        </w:rPr>
        <w:t> </w:t>
      </w:r>
      <w:r>
        <w:rPr>
          <w:spacing w:val="-1"/>
        </w:rPr>
        <w:t>couvrent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besoins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chauffage</w:t>
      </w:r>
      <w:r>
        <w:rPr>
          <w:spacing w:val="-4"/>
        </w:rPr>
        <w:t> </w:t>
      </w:r>
      <w:r>
        <w:rPr/>
        <w:t>et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35"/>
        </w:rPr>
        <w:t> </w:t>
      </w:r>
      <w:r>
        <w:rPr/>
        <w:t>eau</w:t>
      </w:r>
      <w:r>
        <w:rPr>
          <w:spacing w:val="36"/>
        </w:rPr>
        <w:t> </w:t>
      </w:r>
      <w:r>
        <w:rPr>
          <w:spacing w:val="-1"/>
        </w:rPr>
        <w:t>chaude.</w:t>
      </w:r>
      <w:r>
        <w:rPr>
          <w:spacing w:val="28"/>
        </w:rPr>
        <w:t> </w:t>
      </w:r>
      <w:r>
        <w:rPr/>
        <w:t>Un</w:t>
      </w:r>
      <w:r>
        <w:rPr>
          <w:spacing w:val="36"/>
        </w:rPr>
        <w:t> </w:t>
      </w:r>
      <w:r>
        <w:rPr>
          <w:spacing w:val="-2"/>
        </w:rPr>
        <w:t>système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>
          <w:spacing w:val="-1"/>
        </w:rPr>
        <w:t>ventilation</w:t>
      </w:r>
      <w:r>
        <w:rPr>
          <w:spacing w:val="25"/>
        </w:rPr>
        <w:t> </w:t>
      </w:r>
      <w:r>
        <w:rPr>
          <w:spacing w:val="-1"/>
        </w:rPr>
        <w:t>semi-central</w:t>
      </w:r>
      <w:r>
        <w:rPr>
          <w:spacing w:val="33"/>
        </w:rPr>
        <w:t> </w:t>
      </w:r>
      <w:r>
        <w:rPr>
          <w:spacing w:val="-2"/>
        </w:rPr>
        <w:t>contrôle</w:t>
      </w:r>
      <w:r>
        <w:rPr>
          <w:spacing w:val="34"/>
        </w:rPr>
        <w:t> </w:t>
      </w:r>
      <w:r>
        <w:rPr/>
        <w:t>l’apport</w:t>
      </w:r>
      <w:r>
        <w:rPr>
          <w:spacing w:val="33"/>
        </w:rPr>
        <w:t> </w:t>
      </w:r>
      <w:r>
        <w:rPr/>
        <w:t>d’air</w:t>
      </w:r>
      <w:r>
        <w:rPr>
          <w:spacing w:val="34"/>
        </w:rPr>
        <w:t> </w:t>
      </w:r>
      <w:r>
        <w:rPr/>
        <w:t>frais</w:t>
      </w:r>
      <w:r>
        <w:rPr>
          <w:spacing w:val="34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1"/>
        </w:rPr>
        <w:t>assure</w:t>
      </w:r>
      <w:r>
        <w:rPr>
          <w:spacing w:val="48"/>
        </w:rPr>
        <w:t> </w:t>
      </w:r>
      <w:r>
        <w:rPr>
          <w:spacing w:val="-1"/>
        </w:rPr>
        <w:t>l’alimentation</w:t>
      </w:r>
      <w:r>
        <w:rPr/>
        <w:t>  </w:t>
      </w:r>
      <w:r>
        <w:rPr>
          <w:spacing w:val="-1"/>
        </w:rPr>
        <w:t>très</w:t>
      </w:r>
      <w:r>
        <w:rPr>
          <w:spacing w:val="48"/>
        </w:rPr>
        <w:t> </w:t>
      </w:r>
      <w:r>
        <w:rPr>
          <w:spacing w:val="-1"/>
        </w:rPr>
        <w:t>efficace</w:t>
      </w:r>
      <w:r>
        <w:rPr/>
        <w:t>  </w:t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spacing w:val="-1"/>
        </w:rPr>
        <w:t>l’immeuble.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/>
        <w:t>Un</w:t>
      </w:r>
      <w:r>
        <w:rPr>
          <w:spacing w:val="-13"/>
        </w:rPr>
        <w:t> </w:t>
      </w:r>
      <w:r>
        <w:rPr>
          <w:spacing w:val="-1"/>
        </w:rPr>
        <w:t>grand</w:t>
      </w:r>
      <w:r>
        <w:rPr>
          <w:spacing w:val="-13"/>
        </w:rPr>
        <w:t> </w:t>
      </w:r>
      <w:r>
        <w:rPr>
          <w:spacing w:val="-1"/>
        </w:rPr>
        <w:t>avantage</w:t>
      </w:r>
      <w:r>
        <w:rPr>
          <w:spacing w:val="-13"/>
        </w:rPr>
        <w:t> </w:t>
      </w:r>
      <w:r>
        <w:rPr>
          <w:spacing w:val="-1"/>
        </w:rPr>
        <w:t>est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presque</w:t>
      </w:r>
      <w:r>
        <w:rPr>
          <w:spacing w:val="-13"/>
        </w:rPr>
        <w:t> </w:t>
      </w:r>
      <w:r>
        <w:rPr>
          <w:spacing w:val="-2"/>
        </w:rPr>
        <w:t>toutes</w:t>
      </w:r>
      <w:r>
        <w:rPr>
          <w:spacing w:val="41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surfaces</w:t>
      </w:r>
      <w:r>
        <w:rPr>
          <w:spacing w:val="23"/>
        </w:rPr>
        <w:t> </w:t>
      </w:r>
      <w:r>
        <w:rPr>
          <w:spacing w:val="-2"/>
        </w:rPr>
        <w:t>d’enveloppe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bâtiment</w:t>
      </w:r>
      <w:r>
        <w:rPr>
          <w:spacing w:val="23"/>
        </w:rPr>
        <w:t> </w:t>
      </w:r>
      <w:r>
        <w:rPr>
          <w:spacing w:val="-1"/>
        </w:rPr>
        <w:t>four-</w:t>
      </w:r>
      <w:r>
        <w:rPr>
          <w:spacing w:val="45"/>
        </w:rPr>
        <w:t> </w:t>
      </w:r>
      <w:r>
        <w:rPr>
          <w:spacing w:val="-1"/>
        </w:rPr>
        <w:t>nissent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l’énergie</w:t>
      </w:r>
      <w:r>
        <w:rPr>
          <w:spacing w:val="-9"/>
        </w:rPr>
        <w:t> </w:t>
      </w:r>
      <w:r>
        <w:rPr>
          <w:spacing w:val="-1"/>
        </w:rPr>
        <w:t>solaire.</w:t>
      </w:r>
      <w:r>
        <w:rPr>
          <w:spacing w:val="-16"/>
        </w:rPr>
        <w:t> </w:t>
      </w:r>
      <w:r>
        <w:rPr>
          <w:spacing w:val="-1"/>
        </w:rPr>
        <w:t>Cinq</w:t>
      </w:r>
      <w:r>
        <w:rPr>
          <w:spacing w:val="-9"/>
        </w:rPr>
        <w:t> </w:t>
      </w:r>
      <w:r>
        <w:rPr>
          <w:spacing w:val="-1"/>
        </w:rPr>
        <w:t>installations</w:t>
      </w:r>
      <w:r>
        <w:rPr>
          <w:spacing w:val="37"/>
        </w:rPr>
        <w:t> </w:t>
      </w:r>
      <w:r>
        <w:rPr>
          <w:spacing w:val="1"/>
        </w:rPr>
        <w:t>PV</w:t>
      </w:r>
      <w:r>
        <w:rPr>
          <w:spacing w:val="27"/>
        </w:rPr>
        <w:t> </w:t>
      </w:r>
      <w:r>
        <w:rPr>
          <w:spacing w:val="-1"/>
        </w:rPr>
        <w:t>distinctes</w:t>
      </w:r>
      <w:r>
        <w:rPr>
          <w:spacing w:val="28"/>
        </w:rPr>
        <w:t> </w:t>
      </w:r>
      <w:r>
        <w:rPr>
          <w:spacing w:val="-1"/>
        </w:rPr>
        <w:t>assurent</w:t>
      </w:r>
      <w:r>
        <w:rPr>
          <w:spacing w:val="27"/>
        </w:rPr>
        <w:t> </w:t>
      </w: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2"/>
        </w:rPr>
        <w:t>production</w:t>
      </w:r>
      <w:r>
        <w:rPr>
          <w:spacing w:val="29"/>
        </w:rPr>
        <w:t> </w:t>
      </w:r>
      <w:r>
        <w:rPr>
          <w:spacing w:val="-2"/>
        </w:rPr>
        <w:t>d’électricité</w:t>
      </w:r>
      <w:r>
        <w:rPr>
          <w:spacing w:val="5"/>
        </w:rPr>
        <w:t> </w:t>
      </w:r>
      <w:r>
        <w:rPr>
          <w:spacing w:val="-2"/>
        </w:rPr>
        <w:t>élevée. </w:t>
      </w:r>
      <w:r>
        <w:rPr/>
        <w:t>Il</w:t>
      </w:r>
      <w:r>
        <w:rPr>
          <w:spacing w:val="5"/>
        </w:rPr>
        <w:t> </w:t>
      </w:r>
      <w:r>
        <w:rPr>
          <w:spacing w:val="1"/>
        </w:rPr>
        <w:t>faut</w:t>
      </w:r>
      <w:r>
        <w:rPr>
          <w:spacing w:val="5"/>
        </w:rPr>
        <w:t> </w:t>
      </w:r>
      <w:r>
        <w:rPr>
          <w:spacing w:val="-1"/>
        </w:rPr>
        <w:t>souligner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pan-</w:t>
      </w:r>
      <w:r>
        <w:rPr>
          <w:spacing w:val="23"/>
        </w:rPr>
        <w:t> </w:t>
      </w:r>
      <w:r>
        <w:rPr>
          <w:spacing w:val="-1"/>
        </w:rPr>
        <w:t>neaux</w:t>
      </w:r>
      <w:r>
        <w:rPr>
          <w:spacing w:val="45"/>
        </w:rPr>
        <w:t> </w:t>
      </w:r>
      <w:r>
        <w:rPr>
          <w:spacing w:val="-1"/>
        </w:rPr>
        <w:t>monocristallins</w:t>
      </w:r>
      <w:r>
        <w:rPr>
          <w:spacing w:val="46"/>
        </w:rPr>
        <w:t> </w:t>
      </w:r>
      <w:r>
        <w:rPr>
          <w:spacing w:val="-2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façade</w:t>
      </w:r>
      <w:r>
        <w:rPr>
          <w:spacing w:val="46"/>
        </w:rPr>
        <w:t> </w:t>
      </w:r>
      <w:r>
        <w:rPr>
          <w:spacing w:val="-1"/>
        </w:rPr>
        <w:t>sud,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compris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/>
        <w:t>balustrades,</w:t>
      </w:r>
      <w:r>
        <w:rPr>
          <w:spacing w:val="-5"/>
        </w:rPr>
        <w:t> </w:t>
      </w:r>
      <w:r>
        <w:rPr/>
        <w:t>ainsi</w:t>
      </w:r>
      <w:r>
        <w:rPr>
          <w:spacing w:val="2"/>
        </w:rPr>
        <w:t> </w:t>
      </w:r>
      <w:r>
        <w:rPr>
          <w:spacing w:val="-2"/>
        </w:rPr>
        <w:t>que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1"/>
        </w:rPr>
        <w:t>surface</w:t>
      </w:r>
      <w:r>
        <w:rPr>
          <w:spacing w:val="28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/>
        <w:t>36</w:t>
      </w:r>
      <w:r>
        <w:rPr>
          <w:spacing w:val="16"/>
        </w:rPr>
        <w:t> </w:t>
      </w:r>
      <w:r>
        <w:rPr>
          <w:spacing w:val="-2"/>
        </w:rPr>
        <w:t>kWc</w:t>
      </w:r>
      <w:r>
        <w:rPr>
          <w:spacing w:val="16"/>
        </w:rPr>
        <w:t> </w:t>
      </w:r>
      <w:r>
        <w:rPr/>
        <w:t>sur</w:t>
      </w:r>
      <w:r>
        <w:rPr>
          <w:spacing w:val="16"/>
        </w:rPr>
        <w:t> </w:t>
      </w:r>
      <w:r>
        <w:rPr>
          <w:spacing w:val="-2"/>
        </w:rPr>
        <w:t>le</w:t>
      </w:r>
      <w:r>
        <w:rPr>
          <w:spacing w:val="16"/>
        </w:rPr>
        <w:t> </w:t>
      </w:r>
      <w:r>
        <w:rPr/>
        <w:t>toit,</w:t>
      </w:r>
      <w:r>
        <w:rPr>
          <w:spacing w:val="9"/>
        </w:rPr>
        <w:t> </w:t>
      </w:r>
      <w:r>
        <w:rPr/>
        <w:t>qui</w:t>
      </w:r>
      <w:r>
        <w:rPr>
          <w:spacing w:val="16"/>
        </w:rPr>
        <w:t> </w:t>
      </w:r>
      <w:r>
        <w:rPr>
          <w:spacing w:val="-2"/>
        </w:rPr>
        <w:t>couvre</w:t>
      </w:r>
      <w:r>
        <w:rPr>
          <w:spacing w:val="16"/>
        </w:rPr>
        <w:t> </w:t>
      </w:r>
      <w:r>
        <w:rPr/>
        <w:t>53%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besoins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2"/>
        </w:rPr>
        <w:t>énergie.</w:t>
      </w:r>
      <w:r>
        <w:rPr>
          <w:spacing w:val="-1"/>
        </w:rPr>
        <w:t> </w:t>
      </w:r>
      <w:r>
        <w:rPr/>
        <w:t>Grâce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l’utilisation</w:t>
      </w:r>
      <w:r>
        <w:rPr>
          <w:spacing w:val="6"/>
        </w:rPr>
        <w:t> </w:t>
      </w:r>
      <w:r>
        <w:rPr/>
        <w:t>ma-</w:t>
      </w:r>
      <w:r>
        <w:rPr>
          <w:spacing w:val="49"/>
        </w:rPr>
        <w:t> </w:t>
      </w:r>
      <w:r>
        <w:rPr>
          <w:spacing w:val="-1"/>
        </w:rPr>
        <w:t>ximale</w:t>
      </w:r>
      <w:r>
        <w:rPr>
          <w:spacing w:val="15"/>
        </w:rPr>
        <w:t> </w:t>
      </w:r>
      <w:r>
        <w:rPr/>
        <w:t>du</w:t>
      </w:r>
      <w:r>
        <w:rPr>
          <w:spacing w:val="15"/>
        </w:rPr>
        <w:t> </w:t>
      </w:r>
      <w:r>
        <w:rPr>
          <w:spacing w:val="-1"/>
        </w:rPr>
        <w:t>potentiel</w:t>
      </w:r>
      <w:r>
        <w:rPr>
          <w:spacing w:val="15"/>
        </w:rPr>
        <w:t> </w:t>
      </w:r>
      <w:r>
        <w:rPr>
          <w:spacing w:val="-2"/>
        </w:rPr>
        <w:t>énergétique</w:t>
      </w:r>
      <w:r>
        <w:rPr>
          <w:spacing w:val="15"/>
        </w:rPr>
        <w:t> </w:t>
      </w:r>
      <w:r>
        <w:rPr>
          <w:spacing w:val="-1"/>
        </w:rPr>
        <w:t>solaire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-3"/>
        </w:rPr>
        <w:t>l’excellente</w:t>
      </w:r>
      <w:r>
        <w:rPr>
          <w:spacing w:val="18"/>
        </w:rPr>
        <w:t> </w:t>
      </w:r>
      <w:r>
        <w:rPr>
          <w:spacing w:val="-1"/>
        </w:rPr>
        <w:t>isolation</w:t>
      </w:r>
      <w:r>
        <w:rPr>
          <w:spacing w:val="18"/>
        </w:rPr>
        <w:t> </w:t>
      </w:r>
      <w:r>
        <w:rPr>
          <w:spacing w:val="-2"/>
        </w:rPr>
        <w:t>thermique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8"/>
        </w:rPr>
        <w:t> </w:t>
      </w:r>
      <w:r>
        <w:rPr>
          <w:spacing w:val="-1"/>
        </w:rPr>
        <w:t>l’immeu-</w:t>
      </w:r>
      <w:r>
        <w:rPr>
          <w:spacing w:val="51"/>
        </w:rPr>
        <w:t> </w:t>
      </w:r>
      <w:r>
        <w:rPr>
          <w:spacing w:val="-1"/>
        </w:rPr>
        <w:t>ble,</w:t>
      </w:r>
      <w:r>
        <w:rPr>
          <w:spacing w:val="-15"/>
        </w:rPr>
        <w:t> </w:t>
      </w:r>
      <w:r>
        <w:rPr>
          <w:spacing w:val="-1"/>
        </w:rPr>
        <w:t>celui-ci</w:t>
      </w:r>
      <w:r>
        <w:rPr>
          <w:spacing w:val="-8"/>
        </w:rPr>
        <w:t> </w:t>
      </w:r>
      <w:r>
        <w:rPr>
          <w:spacing w:val="-1"/>
        </w:rPr>
        <w:t>est</w:t>
      </w:r>
      <w:r>
        <w:rPr>
          <w:spacing w:val="-8"/>
        </w:rPr>
        <w:t> </w:t>
      </w:r>
      <w:r>
        <w:rPr>
          <w:spacing w:val="-2"/>
        </w:rPr>
        <w:t>devenu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>
          <w:spacing w:val="-1"/>
        </w:rPr>
        <w:t>BEP</w:t>
      </w:r>
      <w:r>
        <w:rPr>
          <w:spacing w:val="-8"/>
        </w:rPr>
        <w:t> </w:t>
      </w:r>
      <w:r>
        <w:rPr>
          <w:spacing w:val="-2"/>
        </w:rPr>
        <w:t>(avec</w:t>
      </w:r>
      <w:r>
        <w:rPr>
          <w:spacing w:val="-8"/>
        </w:rPr>
        <w:t> </w:t>
      </w:r>
      <w:r>
        <w:rPr/>
        <w:t>71’100</w:t>
      </w:r>
      <w:r>
        <w:rPr>
          <w:spacing w:val="27"/>
        </w:rPr>
        <w:t> </w:t>
      </w:r>
      <w:r>
        <w:rPr>
          <w:spacing w:val="-4"/>
        </w:rPr>
        <w:t>kWh/a)</w:t>
      </w:r>
      <w:r>
        <w:rPr>
          <w:spacing w:val="11"/>
        </w:rPr>
        <w:t> </w:t>
      </w:r>
      <w:r>
        <w:rPr>
          <w:spacing w:val="-1"/>
        </w:rPr>
        <w:t>produisant</w:t>
      </w:r>
      <w:r>
        <w:rPr>
          <w:spacing w:val="11"/>
        </w:rPr>
        <w:t> </w:t>
      </w:r>
      <w:r>
        <w:rPr/>
        <w:t>14%</w:t>
      </w:r>
      <w:r>
        <w:rPr>
          <w:spacing w:val="11"/>
        </w:rPr>
        <w:t> </w:t>
      </w:r>
      <w:r>
        <w:rPr/>
        <w:t>plus</w:t>
      </w:r>
      <w:r>
        <w:rPr>
          <w:spacing w:val="11"/>
        </w:rPr>
        <w:t> </w:t>
      </w:r>
      <w:r>
        <w:rPr>
          <w:spacing w:val="-2"/>
        </w:rPr>
        <w:t>d’énergie</w:t>
      </w:r>
      <w:r>
        <w:rPr>
          <w:spacing w:val="11"/>
        </w:rPr>
        <w:t> </w:t>
      </w:r>
      <w:r>
        <w:rPr/>
        <w:t>qu’il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consomme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2"/>
        </w:rPr>
        <w:t>moyenne</w:t>
      </w:r>
      <w:r>
        <w:rPr>
          <w:spacing w:val="1"/>
        </w:rPr>
        <w:t> </w:t>
      </w:r>
      <w:r>
        <w:rPr>
          <w:spacing w:val="-1"/>
        </w:rPr>
        <w:t>annuelle.</w:t>
      </w:r>
      <w:r>
        <w:rPr>
          <w:spacing w:val="29"/>
        </w:rPr>
        <w:t> </w:t>
      </w:r>
      <w:r>
        <w:rPr>
          <w:spacing w:val="-5"/>
        </w:rPr>
        <w:t>L’excédent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courant</w:t>
      </w:r>
      <w:r>
        <w:rPr/>
        <w:t> </w:t>
      </w:r>
      <w:r>
        <w:rPr>
          <w:spacing w:val="-1"/>
        </w:rPr>
        <w:t>solaire</w:t>
      </w:r>
      <w:r>
        <w:rPr/>
        <w:t> (8’660 </w:t>
      </w:r>
      <w:r>
        <w:rPr>
          <w:spacing w:val="-4"/>
        </w:rPr>
        <w:t>kWh/a)</w:t>
      </w:r>
      <w:r>
        <w:rPr>
          <w:spacing w:val="33"/>
        </w:rPr>
        <w:t> </w:t>
      </w:r>
      <w:r>
        <w:rPr/>
        <w:t>va</w:t>
      </w:r>
      <w:r>
        <w:rPr>
          <w:spacing w:val="31"/>
        </w:rPr>
        <w:t> </w:t>
      </w:r>
      <w:r>
        <w:rPr>
          <w:spacing w:val="1"/>
        </w:rPr>
        <w:t>au</w:t>
      </w:r>
      <w:r>
        <w:rPr>
          <w:spacing w:val="31"/>
        </w:rPr>
        <w:t> </w:t>
      </w:r>
      <w:r>
        <w:rPr>
          <w:spacing w:val="-1"/>
        </w:rPr>
        <w:t>réseau</w:t>
      </w:r>
      <w:r>
        <w:rPr>
          <w:spacing w:val="32"/>
        </w:rPr>
        <w:t> </w:t>
      </w:r>
      <w:r>
        <w:rPr>
          <w:spacing w:val="-1"/>
        </w:rPr>
        <w:t>public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1"/>
        </w:rPr>
        <w:t>suffirait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parcourir</w:t>
      </w:r>
      <w:r>
        <w:rPr>
          <w:spacing w:val="30"/>
        </w:rPr>
        <w:t> </w:t>
      </w:r>
      <w:r>
        <w:rPr/>
        <w:t>17’000</w:t>
      </w:r>
      <w:r>
        <w:rPr>
          <w:spacing w:val="5"/>
        </w:rPr>
        <w:t> </w:t>
      </w:r>
      <w:r>
        <w:rPr>
          <w:spacing w:val="-2"/>
        </w:rPr>
        <w:t>kilomètres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2"/>
        </w:rPr>
        <w:t>avec</w:t>
      </w:r>
      <w:r>
        <w:rPr>
          <w:spacing w:val="5"/>
        </w:rPr>
        <w:t> </w:t>
      </w:r>
      <w:r>
        <w:rPr>
          <w:spacing w:val="-2"/>
        </w:rPr>
        <w:t>cinq</w:t>
      </w:r>
      <w:r>
        <w:rPr>
          <w:spacing w:val="5"/>
        </w:rPr>
        <w:t> </w:t>
      </w:r>
      <w:r>
        <w:rPr>
          <w:spacing w:val="-1"/>
        </w:rPr>
        <w:t>voitures</w:t>
      </w:r>
      <w:r>
        <w:rPr>
          <w:spacing w:val="27"/>
        </w:rPr>
        <w:t> </w:t>
      </w:r>
      <w:r>
        <w:rPr>
          <w:spacing w:val="-2"/>
        </w:rPr>
        <w:t>électriques</w:t>
      </w:r>
      <w:r>
        <w:rPr/>
        <w:t> </w:t>
      </w:r>
      <w:r>
        <w:rPr>
          <w:spacing w:val="-1"/>
        </w:rPr>
        <w:t>non</w:t>
      </w:r>
      <w:r>
        <w:rPr/>
        <w:t> </w:t>
      </w:r>
      <w:r>
        <w:rPr>
          <w:spacing w:val="-1"/>
        </w:rPr>
        <w:t>polluantes.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spacing w:val="-5"/>
        </w:rPr>
        <w:t>Le</w:t>
      </w:r>
      <w:r>
        <w:rPr>
          <w:spacing w:val="46"/>
        </w:rPr>
        <w:t> </w:t>
      </w:r>
      <w:r>
        <w:rPr>
          <w:spacing w:val="-1"/>
        </w:rPr>
        <w:t>Palazzo</w:t>
      </w:r>
      <w:r>
        <w:rPr>
          <w:spacing w:val="47"/>
        </w:rPr>
        <w:t> </w:t>
      </w:r>
      <w:r>
        <w:rPr>
          <w:spacing w:val="-1"/>
        </w:rPr>
        <w:t>Positivo</w:t>
      </w:r>
      <w:r>
        <w:rPr>
          <w:spacing w:val="46"/>
        </w:rPr>
        <w:t> </w:t>
      </w:r>
      <w:r>
        <w:rPr>
          <w:spacing w:val="-2"/>
        </w:rPr>
        <w:t>montre</w:t>
      </w:r>
      <w:r>
        <w:rPr>
          <w:spacing w:val="47"/>
        </w:rPr>
        <w:t> </w:t>
      </w:r>
      <w:r>
        <w:rPr>
          <w:spacing w:val="-1"/>
        </w:rPr>
        <w:t>qu’avec</w:t>
      </w:r>
      <w:r>
        <w:rPr>
          <w:spacing w:val="47"/>
        </w:rPr>
        <w:t> </w:t>
      </w:r>
      <w:r>
        <w:rPr/>
        <w:t>un</w:t>
      </w:r>
      <w:r>
        <w:rPr>
          <w:spacing w:val="27"/>
        </w:rPr>
        <w:t> </w:t>
      </w:r>
      <w:r>
        <w:rPr>
          <w:spacing w:val="-2"/>
        </w:rPr>
        <w:t>concept</w:t>
      </w:r>
      <w:r>
        <w:rPr>
          <w:spacing w:val="6"/>
        </w:rPr>
        <w:t> </w:t>
      </w:r>
      <w:r>
        <w:rPr>
          <w:spacing w:val="-2"/>
        </w:rPr>
        <w:t>énergétique</w:t>
      </w:r>
      <w:r>
        <w:rPr>
          <w:spacing w:val="6"/>
        </w:rPr>
        <w:t> </w:t>
      </w:r>
      <w:r>
        <w:rPr>
          <w:spacing w:val="-1"/>
        </w:rPr>
        <w:t>intelligent,</w:t>
      </w:r>
      <w:r>
        <w:rPr>
          <w:spacing w:val="47"/>
        </w:rPr>
        <w:t> </w:t>
      </w:r>
      <w:r>
        <w:rPr>
          <w:spacing w:val="-2"/>
        </w:rPr>
        <w:t>même</w:t>
      </w:r>
      <w:r>
        <w:rPr>
          <w:spacing w:val="6"/>
        </w:rPr>
        <w:t> </w:t>
      </w:r>
      <w:r>
        <w:rPr/>
        <w:t>un</w:t>
      </w:r>
      <w:r>
        <w:rPr>
          <w:spacing w:val="30"/>
        </w:rPr>
        <w:t> </w:t>
      </w:r>
      <w:r>
        <w:rPr>
          <w:spacing w:val="-1"/>
        </w:rPr>
        <w:t>immeuble</w:t>
      </w:r>
      <w:r>
        <w:rPr/>
        <w:t> urbain peut </w:t>
      </w:r>
      <w:r>
        <w:rPr>
          <w:spacing w:val="-3"/>
        </w:rPr>
        <w:t>devenir,</w:t>
      </w:r>
      <w:r>
        <w:rPr>
          <w:spacing w:val="-7"/>
        </w:rPr>
        <w:t> </w:t>
      </w:r>
      <w:r>
        <w:rPr>
          <w:spacing w:val="-1"/>
        </w:rPr>
        <w:t>après</w:t>
      </w:r>
      <w:r>
        <w:rPr/>
        <w:t> </w:t>
      </w:r>
      <w:r>
        <w:rPr>
          <w:spacing w:val="-2"/>
        </w:rPr>
        <w:t>rénova-</w:t>
      </w:r>
      <w:r>
        <w:rPr>
          <w:spacing w:val="26"/>
        </w:rPr>
        <w:t> </w:t>
      </w:r>
      <w:r>
        <w:rPr>
          <w:spacing w:val="-1"/>
        </w:rPr>
        <w:t>tion,</w:t>
      </w:r>
      <w:r>
        <w:rPr>
          <w:spacing w:val="-4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BEP</w:t>
      </w:r>
      <w:r>
        <w:rPr>
          <w:spacing w:val="3"/>
        </w:rPr>
        <w:t> </w:t>
      </w:r>
      <w:r>
        <w:rPr>
          <w:spacing w:val="-1"/>
        </w:rPr>
        <w:t>remarquable.</w:t>
      </w:r>
      <w:r>
        <w:rPr>
          <w:spacing w:val="-4"/>
        </w:rPr>
        <w:t> </w:t>
      </w:r>
      <w:r>
        <w:rPr/>
        <w:t>Il</w:t>
      </w:r>
      <w:r>
        <w:rPr>
          <w:spacing w:val="3"/>
        </w:rPr>
        <w:t> </w:t>
      </w:r>
      <w:r>
        <w:rPr>
          <w:spacing w:val="-2"/>
        </w:rPr>
        <w:t>reçoit</w:t>
      </w:r>
      <w:r>
        <w:rPr>
          <w:spacing w:val="3"/>
        </w:rPr>
        <w:t> </w:t>
      </w:r>
      <w:r>
        <w:rPr/>
        <w:t>pour</w:t>
      </w:r>
      <w:r>
        <w:rPr>
          <w:spacing w:val="3"/>
        </w:rPr>
        <w:t> </w:t>
      </w:r>
      <w:r>
        <w:rPr>
          <w:spacing w:val="-1"/>
        </w:rPr>
        <w:t>cela</w:t>
      </w:r>
      <w:r>
        <w:rPr>
          <w:spacing w:val="29"/>
        </w:rPr>
        <w:t> </w:t>
      </w:r>
      <w:r>
        <w:rPr>
          <w:spacing w:val="-2"/>
        </w:rPr>
        <w:t>le</w:t>
      </w:r>
      <w:r>
        <w:rPr>
          <w:spacing w:val="32"/>
        </w:rPr>
        <w:t> </w:t>
      </w:r>
      <w:r>
        <w:rPr/>
        <w:t>Prix</w:t>
      </w:r>
      <w:r>
        <w:rPr>
          <w:spacing w:val="33"/>
        </w:rPr>
        <w:t> </w:t>
      </w:r>
      <w:r>
        <w:rPr>
          <w:spacing w:val="-1"/>
        </w:rPr>
        <w:t>Solaire</w:t>
      </w:r>
      <w:r>
        <w:rPr>
          <w:spacing w:val="32"/>
        </w:rPr>
        <w:t> </w:t>
      </w:r>
      <w:r>
        <w:rPr>
          <w:spacing w:val="-1"/>
        </w:rPr>
        <w:t>Suisse</w:t>
      </w:r>
      <w:r>
        <w:rPr>
          <w:spacing w:val="33"/>
        </w:rPr>
        <w:t> </w:t>
      </w:r>
      <w:r>
        <w:rPr/>
        <w:t>2014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>
          <w:spacing w:val="-2"/>
        </w:rPr>
        <w:t>le</w:t>
      </w:r>
      <w:r>
        <w:rPr>
          <w:spacing w:val="33"/>
        </w:rPr>
        <w:t> </w:t>
      </w:r>
      <w:r>
        <w:rPr>
          <w:spacing w:val="-1"/>
        </w:rPr>
        <w:t>Diplôme</w:t>
      </w:r>
      <w:r>
        <w:rPr>
          <w:spacing w:val="21"/>
        </w:rPr>
        <w:t> </w:t>
      </w:r>
      <w:r>
        <w:rPr/>
        <w:t>Norman </w:t>
      </w:r>
      <w:r>
        <w:rPr>
          <w:spacing w:val="-3"/>
        </w:rPr>
        <w:t>Foster</w:t>
      </w:r>
      <w:r>
        <w:rPr/>
        <w:t> </w:t>
      </w:r>
      <w:r>
        <w:rPr>
          <w:spacing w:val="-1"/>
        </w:rPr>
        <w:t>Solar</w:t>
      </w:r>
      <w:r>
        <w:rPr/>
        <w:t> </w:t>
      </w:r>
      <w:r>
        <w:rPr>
          <w:spacing w:val="-1"/>
        </w:rPr>
        <w:t>Award</w:t>
      </w:r>
      <w:r>
        <w:rPr/>
        <w:t> 2014.</w:t>
      </w:r>
      <w:r>
        <w:rPr>
          <w:i w:val="0"/>
        </w:rPr>
      </w:r>
    </w:p>
    <w:p>
      <w:pPr>
        <w:spacing w:before="8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9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15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  <w:tab/>
      </w:r>
      <w:r>
        <w:rPr>
          <w:rFonts w:ascii="Theinhardt Regular"/>
          <w:spacing w:val="1"/>
          <w:sz w:val="14"/>
        </w:rPr>
        <w:t>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Bold"/>
          <w:b/>
          <w:sz w:val="14"/>
        </w:rPr>
        <w:t>0.08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sz w:val="14"/>
        </w:rPr>
      </w:r>
    </w:p>
    <w:p>
      <w:pPr>
        <w:tabs>
          <w:tab w:pos="1201" w:val="left" w:leader="none"/>
          <w:tab w:pos="2567" w:val="left" w:leader="none"/>
        </w:tabs>
        <w:spacing w:line="207" w:lineRule="auto" w:before="5"/>
        <w:ind w:left="107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z w:val="14"/>
        </w:rPr>
        <w:t>20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3"/>
          <w:sz w:val="14"/>
        </w:rPr>
        <w:t>0.7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1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3"/>
        <w:gridCol w:w="418"/>
        <w:gridCol w:w="671"/>
      </w:tblGrid>
      <w:tr>
        <w:trPr>
          <w:trHeight w:val="28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EBF: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1’373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m</w:t>
            </w:r>
            <w:r>
              <w:rPr>
                <w:rFonts w:ascii="Theinhardt Regular" w:hAnsi="Theinhardt Regular" w:cs="Theinhardt Regular" w:eastAsia="Theinhardt Regular"/>
                <w:spacing w:val="-1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sz w:val="8"/>
                <w:szCs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277" w:right="0" w:hanging="19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  <w:p>
            <w:pPr>
              <w:pStyle w:val="TableParagraph"/>
              <w:spacing w:line="168" w:lineRule="exact"/>
              <w:ind w:left="2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320.5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89" w:right="0" w:firstLine="36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8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87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3" w:right="0" w:firstLine="14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8" w:lineRule="exact"/>
              <w:ind w:left="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2"/>
                <w:sz w:val="14"/>
                <w:szCs w:val="14"/>
              </w:rPr>
              <w:t>440’000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40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7"/>
                <w:sz w:val="14"/>
              </w:rPr>
              <w:t>11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54’920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Hilfsstrom: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5.8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3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8’000</w:t>
            </w:r>
          </w:p>
        </w:tc>
      </w:tr>
      <w:tr>
        <w:trPr>
          <w:trHeight w:val="15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6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366.3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502’920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4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6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EBF: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1’373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m</w:t>
            </w:r>
            <w:r>
              <w:rPr>
                <w:rFonts w:ascii="Theinhardt Regular" w:hAnsi="Theinhardt Regular" w:cs="Theinhardt Regular" w:eastAsia="Theinhardt Regular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sz w:val="8"/>
                <w:szCs w:val="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28.5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63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4"/>
                <w:sz w:val="14"/>
                <w:szCs w:val="14"/>
              </w:rPr>
              <w:t>39’118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17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37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23’341</w:t>
            </w:r>
          </w:p>
        </w:tc>
      </w:tr>
      <w:tr>
        <w:trPr>
          <w:trHeight w:val="19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45.5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8"/>
                <w:sz w:val="14"/>
              </w:rPr>
              <w:t>12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5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62’459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15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position w:val="5"/>
                <w:sz w:val="8"/>
              </w:rPr>
              <w:t>    </w:t>
            </w:r>
            <w:r>
              <w:rPr>
                <w:rFonts w:ascii="Theinhardt Regular"/>
                <w:spacing w:val="2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69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PV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Dach: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28"/>
                <w:sz w:val="14"/>
              </w:rPr>
              <w:t> </w:t>
            </w:r>
            <w:r>
              <w:rPr>
                <w:rFonts w:ascii="Theinhardt Regular"/>
                <w:spacing w:val="-5"/>
                <w:sz w:val="14"/>
              </w:rPr>
              <w:t>176</w:t>
              <w:tab/>
            </w:r>
            <w:r>
              <w:rPr>
                <w:rFonts w:ascii="Theinhardt Regular"/>
                <w:sz w:val="14"/>
              </w:rPr>
              <w:t>36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188.7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33’212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PV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Fass: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15"/>
                <w:sz w:val="14"/>
              </w:rPr>
              <w:t> </w:t>
            </w:r>
            <w:r>
              <w:rPr>
                <w:rFonts w:ascii="Theinhardt Regular"/>
                <w:spacing w:val="-3"/>
                <w:sz w:val="14"/>
              </w:rPr>
              <w:t>651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21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52.6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22.2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23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5"/>
                <w:sz w:val="14"/>
                <w:szCs w:val="14"/>
              </w:rPr>
              <w:t>14’470</w:t>
            </w:r>
          </w:p>
        </w:tc>
      </w:tr>
      <w:tr>
        <w:trPr>
          <w:trHeight w:val="16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SK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Dach:</w:t>
            </w:r>
            <w:r>
              <w:rPr>
                <w:rFonts w:ascii="Theinhardt Regular"/>
                <w:sz w:val="14"/>
              </w:rPr>
              <w:t>   </w:t>
            </w:r>
            <w:r>
              <w:rPr>
                <w:rFonts w:ascii="Theinhardt Regular"/>
                <w:spacing w:val="18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46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509.6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38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23</w:t>
            </w:r>
            <w:r>
              <w:rPr>
                <w:rFonts w:ascii="Theinhardt Regular" w:hAnsi="Theinhardt Regular" w:cs="Theinhardt Regular" w:eastAsia="Theinhardt Regular"/>
                <w:spacing w:val="-10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spacing w:val="3"/>
                <w:sz w:val="14"/>
                <w:szCs w:val="14"/>
              </w:rPr>
              <w:t>44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0</w:t>
            </w:r>
          </w:p>
        </w:tc>
      </w:tr>
      <w:tr>
        <w:trPr>
          <w:trHeight w:val="190" w:hRule="exact"/>
        </w:trPr>
        <w:tc>
          <w:tcPr>
            <w:tcW w:w="2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5"/>
                <w:sz w:val="14"/>
              </w:rPr>
              <w:t>114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71’122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2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9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5"/>
                <w:sz w:val="14"/>
              </w:rPr>
              <w:t>114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6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71’122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62’459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23" w:hRule="exact"/>
        </w:trPr>
        <w:tc>
          <w:tcPr>
            <w:tcW w:w="21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9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3"/>
                <w:sz w:val="14"/>
              </w:rPr>
              <w:t>14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3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8’663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84"/>
        <w:ind w:left="266" w:right="1020" w:hanging="16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30.6.2014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Sandro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Meli,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091</w:t>
      </w:r>
      <w:r>
        <w:rPr>
          <w:rFonts w:ascii="Theinhardt Regular" w:hAnsi="Theinhardt Regular" w:cs="Theinhardt Regular" w:eastAsia="Theinhardt Regular"/>
          <w:sz w:val="14"/>
          <w:szCs w:val="14"/>
        </w:rPr>
        <w:t> 695 07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21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6" w:right="231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ai </w:t>
      </w:r>
      <w:r>
        <w:rPr>
          <w:rFonts w:ascii="Theinhardt Regular"/>
          <w:spacing w:val="2"/>
          <w:sz w:val="14"/>
        </w:rPr>
        <w:t>Crotti</w:t>
      </w:r>
      <w:r>
        <w:rPr>
          <w:rFonts w:ascii="Theinhardt Regular"/>
          <w:sz w:val="14"/>
        </w:rPr>
        <w:t> 1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6</w:t>
      </w:r>
      <w:r>
        <w:rPr>
          <w:rFonts w:ascii="Theinhardt Regular"/>
          <w:spacing w:val="2"/>
          <w:sz w:val="14"/>
        </w:rPr>
        <w:t>8</w:t>
      </w:r>
      <w:r>
        <w:rPr>
          <w:rFonts w:ascii="Theinhardt Regular"/>
          <w:spacing w:val="1"/>
          <w:sz w:val="14"/>
        </w:rPr>
        <w:t>3</w:t>
      </w:r>
      <w:r>
        <w:rPr>
          <w:rFonts w:ascii="Theinhardt Regular"/>
          <w:sz w:val="14"/>
        </w:rPr>
        <w:t>0 </w:t>
      </w:r>
      <w:r>
        <w:rPr>
          <w:rFonts w:ascii="Theinhardt Regular"/>
          <w:spacing w:val="1"/>
          <w:sz w:val="14"/>
        </w:rPr>
        <w:t>Ch</w:t>
      </w:r>
      <w:r>
        <w:rPr>
          <w:rFonts w:ascii="Theinhardt Regular"/>
          <w:spacing w:val="2"/>
          <w:sz w:val="14"/>
        </w:rPr>
        <w:t>i</w:t>
      </w:r>
      <w:r>
        <w:rPr>
          <w:rFonts w:ascii="Theinhardt Regular"/>
          <w:spacing w:val="4"/>
          <w:sz w:val="14"/>
        </w:rPr>
        <w:t>as</w:t>
      </w:r>
      <w:r>
        <w:rPr>
          <w:rFonts w:ascii="Theinhardt Regular"/>
          <w:spacing w:val="2"/>
          <w:sz w:val="14"/>
        </w:rPr>
        <w:t>s</w:t>
      </w:r>
      <w:r>
        <w:rPr>
          <w:rFonts w:ascii="Theinhardt Regular"/>
          <w:sz w:val="14"/>
        </w:rPr>
        <w:t>o</w:t>
      </w:r>
    </w:p>
    <w:p>
      <w:pPr>
        <w:spacing w:line="172" w:lineRule="exact"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0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Gasser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Baumaterialien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Haldensteinstrasse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</w:t>
      </w:r>
    </w:p>
    <w:p>
      <w:pPr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Postfach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300,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Chur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354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5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info@gasser.ch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Bauleitung: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TUOR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Baumanagement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Platz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Postfach</w:t>
      </w:r>
      <w:r>
        <w:rPr>
          <w:rFonts w:ascii="Theinhardt Regular"/>
          <w:sz w:val="14"/>
        </w:rPr>
        <w:t> 350, </w:t>
      </w:r>
      <w:r>
        <w:rPr>
          <w:rFonts w:ascii="Theinhardt Regular"/>
          <w:spacing w:val="-3"/>
          <w:sz w:val="14"/>
        </w:rPr>
        <w:t>7310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Bad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Ragaz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651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51</w:t>
      </w:r>
      <w:hyperlink r:id="rId6">
        <w:r>
          <w:rPr>
            <w:rFonts w:ascii="Theinhardt Regular"/>
            <w:spacing w:val="-6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info@tuor-ag.ch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Haustechnikplanung: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HT-Plan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Haldensteinstrasse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Chur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284 69 69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Passivhausplanung: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0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Gasser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Gebäude</w:t>
      </w:r>
      <w:r>
        <w:rPr>
          <w:rFonts w:ascii="Theinhardt Regular" w:hAnsi="Theinhardt Regular"/>
          <w:sz w:val="14"/>
        </w:rPr>
        <w:t> AG,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Haldensteinstrasse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44,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7000</w:t>
      </w:r>
      <w:r>
        <w:rPr>
          <w:rFonts w:ascii="Theinhardt Regular" w:hAnsi="Theinhardt Regular"/>
          <w:sz w:val="14"/>
        </w:rPr>
        <w:t> Chur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118293pt;width:167.25pt;height:.45pt;mso-position-horizontal-relative:page;mso-position-vertical-relative:paragraph;z-index:1072" coordorigin="7710,202" coordsize="3345,9">
            <v:group style="position:absolute;left:7732;top:207;width:3311;height:2" coordorigin="7732,207" coordsize="3311,2">
              <v:shape style="position:absolute;left:7732;top:207;width:3311;height:2" coordorigin="7732,207" coordsize="3311,0" path="m7732,207l11042,207e" filled="false" stroked="true" strokeweight=".425pt" strokecolor="#000000">
                <v:path arrowok="t"/>
                <v:stroke dashstyle="dash"/>
              </v:shape>
            </v:group>
            <v:group style="position:absolute;left:7714;top:207;width:2;height:2" coordorigin="7714,207" coordsize="2,2">
              <v:shape style="position:absolute;left:7714;top:207;width:2;height:2" coordorigin="7714,207" coordsize="0,0" path="m7714,207l7714,207e" filled="false" stroked="true" strokeweight=".425pt" strokecolor="#000000">
                <v:path arrowok="t"/>
              </v:shape>
            </v:group>
            <v:group style="position:absolute;left:11051;top:207;width:2;height:2" coordorigin="11051,207" coordsize="2,2">
              <v:shape style="position:absolute;left:11051;top:207;width:2;height:2" coordorigin="11051,207" coordsize="0,0" path="m11051,207l11051,207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354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71</w:t>
      </w:r>
      <w:hyperlink r:id="rId7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gebaeude@gasser.ch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59" w:space="112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pStyle w:val="Heading1"/>
        <w:tabs>
          <w:tab w:pos="5467" w:val="left" w:leader="none"/>
        </w:tabs>
        <w:spacing w:line="200" w:lineRule="atLeast"/>
        <w:ind w:right="0"/>
        <w:jc w:val="left"/>
      </w:pPr>
      <w:r>
        <w:rPr/>
        <w:drawing>
          <wp:inline distT="0" distB="0" distL="0" distR="0">
            <wp:extent cx="3267602" cy="4215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602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3267602" cy="42153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602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5467" w:val="left" w:leader="none"/>
        </w:tabs>
        <w:spacing w:line="18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pStyle w:val="Heading1"/>
        <w:tabs>
          <w:tab w:pos="3682" w:val="left" w:leader="none"/>
        </w:tabs>
        <w:spacing w:line="200" w:lineRule="atLeast"/>
        <w:ind w:left="112" w:right="0"/>
        <w:jc w:val="left"/>
        <w:rPr>
          <w:rFonts w:ascii="Theinhardt Bold" w:hAnsi="Theinhardt Bold" w:cs="Theinhardt Bold" w:eastAsia="Theinhardt Bold"/>
        </w:rPr>
      </w:pPr>
      <w:r>
        <w:rPr>
          <w:rFonts w:ascii="Theinhardt Bold"/>
        </w:rPr>
        <w:drawing>
          <wp:inline distT="0" distB="0" distL="0" distR="0">
            <wp:extent cx="2127411" cy="318211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411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</w:rPr>
      </w:r>
      <w:r>
        <w:rPr>
          <w:rFonts w:ascii="Theinhardt Bold"/>
        </w:rPr>
        <w:tab/>
      </w:r>
      <w:r>
        <w:rPr>
          <w:rFonts w:ascii="Theinhardt Bold"/>
        </w:rPr>
        <w:drawing>
          <wp:inline distT="0" distB="0" distL="0" distR="0">
            <wp:extent cx="4399070" cy="318211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070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</w:rPr>
      </w:r>
    </w:p>
    <w:p>
      <w:pPr>
        <w:tabs>
          <w:tab w:pos="3682" w:val="left" w:leader="none"/>
        </w:tabs>
        <w:spacing w:before="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  <w:tab/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1"/>
          <w:szCs w:val="21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6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einem Gesamtertrag von 71’100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Palazzo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Positivo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 Chiasso eine</w:t>
      </w:r>
      <w:r>
        <w:rPr>
          <w:rFonts w:ascii="Theinhardt Bold" w:hAnsi="Theinhardt Bold" w:cs="Theinhardt Bold" w:eastAsia="Theinhardt Bold"/>
          <w:b/>
          <w:bCs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114%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auf.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Durch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optimale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Dämmung von 28-40 cm</w:t>
      </w:r>
      <w:r>
        <w:rPr>
          <w:rFonts w:ascii="Theinhardt Bold" w:hAnsi="Theinhardt Bold" w:cs="Theinhardt Bold" w:eastAsia="Theinhardt Bold"/>
          <w:b/>
          <w:bCs/>
          <w:spacing w:val="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Energiebedarf von 502’900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um 88% auf 62’500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reduziert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Fassade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integrierten 53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14’470 kWh oder 23%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Energiebe-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4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-1"/>
          <w:sz w:val="14"/>
        </w:rPr>
        <w:t>Fünf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verschiedene</w:t>
      </w:r>
      <w:r>
        <w:rPr>
          <w:rFonts w:ascii="Theinhardt Bold" w:hAnsi="Theinhardt Bold"/>
          <w:b/>
          <w:sz w:val="14"/>
        </w:rPr>
        <w:t> PV-Anlagen und eine optima-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le</w:t>
      </w:r>
      <w:r>
        <w:rPr>
          <w:rFonts w:ascii="Theinhardt Bold" w:hAnsi="Theinhardt Bold"/>
          <w:b/>
          <w:sz w:val="14"/>
        </w:rPr>
        <w:t> Wärmedämmung wandelten das MFH in einen</w:t>
      </w:r>
      <w:r>
        <w:rPr>
          <w:rFonts w:ascii="Theinhardt Bold" w:hAnsi="Theinhardt Bold"/>
          <w:b/>
          <w:spacing w:val="21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PlusEnergieBau</w:t>
      </w:r>
      <w:r>
        <w:rPr>
          <w:rFonts w:ascii="Theinhardt Bold" w:hAnsi="Theinhardt Bold"/>
          <w:b/>
          <w:sz w:val="14"/>
        </w:rPr>
        <w:t> um.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279" w:space="293"/>
            <w:col w:w="3444" w:space="128"/>
            <w:col w:w="3566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heinhardt Regular" w:hAnsi="Theinhardt Regular" w:eastAsia="Theinhardt Regular"/>
      <w:sz w:val="20"/>
      <w:szCs w:val="20"/>
    </w:rPr>
  </w:style>
  <w:style w:styleId="Heading2" w:type="paragraph">
    <w:name w:val="Heading 2"/>
    <w:basedOn w:val="Normal"/>
    <w:uiPriority w:val="1"/>
    <w:qFormat/>
    <w:pPr>
      <w:ind w:left="106" w:firstLine="226"/>
      <w:outlineLvl w:val="2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gasser.ch" TargetMode="External"/><Relationship Id="rId6" Type="http://schemas.openxmlformats.org/officeDocument/2006/relationships/hyperlink" Target="mailto:info@tuor-ag.ch" TargetMode="External"/><Relationship Id="rId7" Type="http://schemas.openxmlformats.org/officeDocument/2006/relationships/hyperlink" Target="mailto:gebaeude@gasser.ch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2014-09-17T14:57:57Z</dcterms:created>
  <dcterms:modified xsi:type="dcterms:W3CDTF">2014-09-17T14:57:57Z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