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0" w:lineRule="exact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4600" coordorigin="571,273" coordsize="2,2">
            <v:shape style="position:absolute;left:571;top:273;width:2;height:2" coordorigin="571,273" coordsize="0,0" path="m571,273l571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44" coordorigin="3015,273" coordsize="2,2">
            <v:shape style="position:absolute;left:3015;top:273;width:2;height:2" coordorigin="3015,273" coordsize="0,0" path="m3015,273l3015,273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</w:rPr>
      </w:r>
      <w:r>
        <w:rPr>
          <w:rFonts w:ascii="Theinhardt Black"/>
          <w:b/>
          <w:spacing w:val="1"/>
          <w:u w:val="dotted" w:color="000000"/>
        </w:rPr>
        <w:t>Kategorie</w:t>
      </w:r>
      <w:r>
        <w:rPr>
          <w:rFonts w:ascii="Theinhardt Black"/>
          <w:b/>
          <w:spacing w:val="-1"/>
          <w:u w:val="dotted" w:color="000000"/>
        </w:rPr>
        <w:t> </w:t>
      </w:r>
      <w:r>
        <w:rPr>
          <w:rFonts w:ascii="Theinhardt Black"/>
          <w:b/>
          <w:u w:val="dotted" w:color="000000"/>
        </w:rPr>
        <w:t>A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/>
          <w:spacing w:val="25"/>
        </w:rPr>
        <w:t> </w:t>
      </w:r>
      <w:r>
        <w:rPr>
          <w:rFonts w:ascii="Theinhardt Black"/>
          <w:b/>
          <w:spacing w:val="1"/>
        </w:rPr>
        <w:t>Institutionen</w:t>
      </w:r>
      <w:r>
        <w:rPr>
          <w:rFonts w:ascii="Theinhardt Black"/>
          <w:b w:val="0"/>
        </w:rPr>
      </w: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22.6pt;height:.45pt;mso-position-horizontal-relative:char;mso-position-vertical-relative:line" coordorigin="0,0" coordsize="2452,9">
            <v:group style="position:absolute;left:21;top:4;width:2418;height:2" coordorigin="21,4" coordsize="2418,2">
              <v:shape style="position:absolute;left:21;top:4;width:2418;height:2" coordorigin="21,4" coordsize="2418,0" path="m21,4l2439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2448;top:4;width:2;height:2" coordorigin="2448,4" coordsize="2,2">
              <v:shape style="position:absolute;left:2448;top:4;width:2;height:2" coordorigin="2448,4" coordsize="0,0" path="m2448,4l2448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Schweizer</w:t>
      </w:r>
      <w:r>
        <w:rPr/>
        <w:t> </w:t>
      </w:r>
      <w:r>
        <w:rPr>
          <w:spacing w:val="-1"/>
        </w:rPr>
        <w:t>Solarpreis</w:t>
      </w:r>
      <w:r>
        <w:rPr/>
        <w:t> 2014</w:t>
      </w:r>
    </w:p>
    <w:p>
      <w:pPr>
        <w:pStyle w:val="Heading1"/>
        <w:spacing w:line="230" w:lineRule="exact"/>
        <w:ind w:right="117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Der</w:t>
      </w:r>
      <w:r>
        <w:rPr>
          <w:spacing w:val="-20"/>
        </w:rPr>
        <w:t> </w:t>
      </w:r>
      <w:r>
        <w:rPr>
          <w:spacing w:val="-3"/>
        </w:rPr>
        <w:t>Verein</w:t>
      </w:r>
      <w:r>
        <w:rPr>
          <w:spacing w:val="-13"/>
        </w:rPr>
        <w:t> </w:t>
      </w:r>
      <w:r>
        <w:rPr>
          <w:spacing w:val="-1"/>
        </w:rPr>
        <w:t>„energietal</w:t>
      </w:r>
      <w:r>
        <w:rPr>
          <w:spacing w:val="-13"/>
        </w:rPr>
        <w:t> </w:t>
      </w:r>
      <w:r>
        <w:rPr>
          <w:spacing w:val="-1"/>
        </w:rPr>
        <w:t>toggenburg“</w:t>
      </w:r>
      <w:r>
        <w:rPr>
          <w:spacing w:val="-24"/>
        </w:rPr>
        <w:t> </w:t>
      </w:r>
      <w:r>
        <w:rPr>
          <w:spacing w:val="-1"/>
        </w:rPr>
        <w:t>unterstützt</w:t>
      </w:r>
      <w:r>
        <w:rPr>
          <w:spacing w:val="-13"/>
        </w:rPr>
        <w:t> </w:t>
      </w:r>
      <w:r>
        <w:rPr>
          <w:spacing w:val="-1"/>
        </w:rPr>
        <w:t>den</w:t>
      </w:r>
      <w:r>
        <w:rPr>
          <w:spacing w:val="-12"/>
        </w:rPr>
        <w:t> </w:t>
      </w:r>
      <w:r>
        <w:rPr>
          <w:spacing w:val="-1"/>
        </w:rPr>
        <w:t>Aufbau</w:t>
      </w:r>
      <w:r>
        <w:rPr>
          <w:spacing w:val="-13"/>
        </w:rPr>
        <w:t> </w:t>
      </w:r>
      <w:r>
        <w:rPr>
          <w:spacing w:val="-1"/>
        </w:rPr>
        <w:t>einer</w:t>
      </w:r>
      <w:r>
        <w:rPr>
          <w:spacing w:val="-13"/>
        </w:rPr>
        <w:t> </w:t>
      </w:r>
      <w:r>
        <w:rPr>
          <w:spacing w:val="-1"/>
        </w:rPr>
        <w:t>nachhaltigen</w:t>
      </w:r>
      <w:r>
        <w:rPr>
          <w:spacing w:val="-13"/>
        </w:rPr>
        <w:t> </w:t>
      </w:r>
      <w:r>
        <w:rPr>
          <w:spacing w:val="-1"/>
        </w:rPr>
        <w:t>und</w:t>
      </w:r>
      <w:r>
        <w:rPr>
          <w:spacing w:val="-13"/>
        </w:rPr>
        <w:t> </w:t>
      </w:r>
      <w:r>
        <w:rPr>
          <w:spacing w:val="-2"/>
        </w:rPr>
        <w:t>CO</w:t>
      </w:r>
      <w:r>
        <w:rPr>
          <w:spacing w:val="-2"/>
          <w:position w:val="-5"/>
          <w:sz w:val="10"/>
          <w:szCs w:val="10"/>
        </w:rPr>
        <w:t>2</w:t>
      </w:r>
      <w:r>
        <w:rPr>
          <w:spacing w:val="-2"/>
        </w:rPr>
        <w:t>-neutralen</w:t>
      </w:r>
      <w:r>
        <w:rPr>
          <w:spacing w:val="70"/>
        </w:rPr>
        <w:t> </w:t>
      </w:r>
      <w:r>
        <w:rPr>
          <w:spacing w:val="-1"/>
        </w:rPr>
        <w:t>Energieproduktion</w:t>
      </w:r>
      <w:r>
        <w:rPr>
          <w:spacing w:val="9"/>
        </w:rPr>
        <w:t> </w:t>
      </w:r>
      <w:r>
        <w:rPr>
          <w:spacing w:val="-1"/>
        </w:rPr>
        <w:t>sowie</w:t>
      </w:r>
      <w:r>
        <w:rPr>
          <w:spacing w:val="10"/>
        </w:rPr>
        <w:t> </w:t>
      </w:r>
      <w:r>
        <w:rPr>
          <w:spacing w:val="-1"/>
        </w:rPr>
        <w:t>eine</w:t>
      </w:r>
      <w:r>
        <w:rPr>
          <w:spacing w:val="9"/>
        </w:rPr>
        <w:t> </w:t>
      </w:r>
      <w:r>
        <w:rPr>
          <w:spacing w:val="-1"/>
        </w:rPr>
        <w:t>effiziente</w:t>
      </w:r>
      <w:r>
        <w:rPr>
          <w:spacing w:val="10"/>
        </w:rPr>
        <w:t> </w:t>
      </w:r>
      <w:r>
        <w:rPr>
          <w:spacing w:val="-1"/>
        </w:rPr>
        <w:t>Energienutzung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der</w:t>
      </w:r>
      <w:r>
        <w:rPr>
          <w:spacing w:val="10"/>
        </w:rPr>
        <w:t> </w:t>
      </w:r>
      <w:r>
        <w:rPr>
          <w:spacing w:val="-1"/>
        </w:rPr>
        <w:t>Region.</w:t>
      </w:r>
      <w:r>
        <w:rPr>
          <w:spacing w:val="2"/>
        </w:rPr>
        <w:t> </w:t>
      </w:r>
      <w:r>
        <w:rPr>
          <w:spacing w:val="-1"/>
        </w:rPr>
        <w:t>Ziel</w:t>
      </w:r>
      <w:r>
        <w:rPr>
          <w:spacing w:val="10"/>
        </w:rPr>
        <w:t> </w:t>
      </w:r>
      <w:r>
        <w:rPr>
          <w:spacing w:val="-1"/>
        </w:rPr>
        <w:t>ist</w:t>
      </w:r>
      <w:r>
        <w:rPr>
          <w:spacing w:val="10"/>
        </w:rPr>
        <w:t> </w:t>
      </w:r>
      <w:r>
        <w:rPr/>
        <w:t>es,</w:t>
      </w:r>
      <w:r>
        <w:rPr>
          <w:spacing w:val="2"/>
        </w:rPr>
        <w:t> </w:t>
      </w:r>
      <w:r>
        <w:rPr>
          <w:spacing w:val="-1"/>
        </w:rPr>
        <w:t>das</w:t>
      </w:r>
      <w:r>
        <w:rPr>
          <w:spacing w:val="3"/>
        </w:rPr>
        <w:t> </w:t>
      </w:r>
      <w:r>
        <w:rPr>
          <w:spacing w:val="-3"/>
        </w:rPr>
        <w:t>Toggen-</w:t>
      </w:r>
      <w:r>
        <w:rPr>
          <w:spacing w:val="29"/>
        </w:rPr>
        <w:t> </w:t>
      </w:r>
      <w:r>
        <w:rPr>
          <w:spacing w:val="-1"/>
        </w:rPr>
        <w:t>burg</w:t>
      </w:r>
      <w:r>
        <w:rPr>
          <w:spacing w:val="-2"/>
        </w:rPr>
        <w:t> </w:t>
      </w:r>
      <w:r>
        <w:rPr>
          <w:spacing w:val="-1"/>
        </w:rPr>
        <w:t>bis</w:t>
      </w:r>
      <w:r>
        <w:rPr>
          <w:spacing w:val="-2"/>
        </w:rPr>
        <w:t> </w:t>
      </w:r>
      <w:r>
        <w:rPr>
          <w:spacing w:val="-1"/>
        </w:rPr>
        <w:t>2034</w:t>
      </w:r>
      <w:r>
        <w:rPr>
          <w:spacing w:val="-2"/>
        </w:rPr>
        <w:t> </w:t>
      </w:r>
      <w:r>
        <w:rPr>
          <w:spacing w:val="-1"/>
        </w:rPr>
        <w:t>zur</w:t>
      </w:r>
      <w:r>
        <w:rPr>
          <w:spacing w:val="-2"/>
        </w:rPr>
        <w:t> </w:t>
      </w:r>
      <w:r>
        <w:rPr>
          <w:spacing w:val="-1"/>
        </w:rPr>
        <w:t>energieautarken</w:t>
      </w:r>
      <w:r>
        <w:rPr>
          <w:spacing w:val="-2"/>
        </w:rPr>
        <w:t> </w:t>
      </w:r>
      <w:r>
        <w:rPr>
          <w:spacing w:val="-1"/>
        </w:rPr>
        <w:t>Region</w:t>
      </w:r>
      <w:r>
        <w:rPr>
          <w:spacing w:val="-2"/>
        </w:rPr>
        <w:t> </w:t>
      </w:r>
      <w:r>
        <w:rPr>
          <w:spacing w:val="-1"/>
        </w:rPr>
        <w:t>zu</w:t>
      </w:r>
      <w:r>
        <w:rPr>
          <w:spacing w:val="-2"/>
        </w:rPr>
        <w:t> </w:t>
      </w:r>
      <w:r>
        <w:rPr>
          <w:spacing w:val="-1"/>
        </w:rPr>
        <w:t>machen.</w:t>
      </w:r>
      <w:r>
        <w:rPr>
          <w:spacing w:val="-9"/>
        </w:rPr>
        <w:t> </w:t>
      </w:r>
      <w:r>
        <w:rPr>
          <w:spacing w:val="-1"/>
        </w:rPr>
        <w:t>Bis</w:t>
      </w:r>
      <w:r>
        <w:rPr>
          <w:spacing w:val="-2"/>
        </w:rPr>
        <w:t> </w:t>
      </w:r>
      <w:r>
        <w:rPr>
          <w:spacing w:val="-1"/>
        </w:rPr>
        <w:t>2059</w:t>
      </w:r>
      <w:r>
        <w:rPr>
          <w:spacing w:val="-2"/>
        </w:rPr>
        <w:t> </w:t>
      </w:r>
      <w:r>
        <w:rPr>
          <w:spacing w:val="-1"/>
        </w:rPr>
        <w:t>soll</w:t>
      </w:r>
      <w:r>
        <w:rPr>
          <w:spacing w:val="-2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2000-Watt-Gesellschaft</w:t>
      </w:r>
      <w:r>
        <w:rPr>
          <w:spacing w:val="51"/>
        </w:rPr>
        <w:t> </w:t>
      </w:r>
      <w:r>
        <w:rPr/>
        <w:t>umgesetzt</w:t>
      </w:r>
      <w:r>
        <w:rPr>
          <w:spacing w:val="22"/>
        </w:rPr>
        <w:t> </w:t>
      </w:r>
      <w:r>
        <w:rPr>
          <w:spacing w:val="-1"/>
        </w:rPr>
        <w:t>und</w:t>
      </w:r>
      <w:r>
        <w:rPr>
          <w:spacing w:val="22"/>
        </w:rPr>
        <w:t> </w:t>
      </w:r>
      <w:r>
        <w:rPr>
          <w:spacing w:val="-1"/>
        </w:rPr>
        <w:t>eine</w:t>
      </w:r>
      <w:r>
        <w:rPr>
          <w:spacing w:val="22"/>
        </w:rPr>
        <w:t> </w:t>
      </w:r>
      <w:r>
        <w:rPr>
          <w:spacing w:val="-1"/>
        </w:rPr>
        <w:t>nachhaltige</w:t>
      </w:r>
      <w:r>
        <w:rPr>
          <w:spacing w:val="22"/>
        </w:rPr>
        <w:t> </w:t>
      </w:r>
      <w:r>
        <w:rPr>
          <w:spacing w:val="-1"/>
        </w:rPr>
        <w:t>wirtschaftliche</w:t>
      </w:r>
      <w:r>
        <w:rPr>
          <w:spacing w:val="22"/>
        </w:rPr>
        <w:t> </w:t>
      </w:r>
      <w:r>
        <w:rPr>
          <w:spacing w:val="-1"/>
        </w:rPr>
        <w:t>Entwicklung</w:t>
      </w:r>
      <w:r>
        <w:rPr>
          <w:spacing w:val="22"/>
        </w:rPr>
        <w:t> </w:t>
      </w:r>
      <w:r>
        <w:rPr>
          <w:spacing w:val="-1"/>
        </w:rPr>
        <w:t>angestrebt</w:t>
      </w:r>
      <w:r>
        <w:rPr>
          <w:spacing w:val="22"/>
        </w:rPr>
        <w:t> </w:t>
      </w:r>
      <w:r>
        <w:rPr>
          <w:spacing w:val="-2"/>
        </w:rPr>
        <w:t>werden.</w:t>
      </w:r>
      <w:r>
        <w:rPr>
          <w:spacing w:val="15"/>
        </w:rPr>
        <w:t> </w:t>
      </w:r>
      <w:r>
        <w:rPr>
          <w:spacing w:val="-1"/>
        </w:rPr>
        <w:t>Alle</w:t>
      </w:r>
      <w:r>
        <w:rPr>
          <w:spacing w:val="22"/>
        </w:rPr>
        <w:t> </w:t>
      </w:r>
      <w:r>
        <w:rPr>
          <w:spacing w:val="-1"/>
        </w:rPr>
        <w:t>12</w:t>
      </w:r>
      <w:r>
        <w:rPr>
          <w:spacing w:val="15"/>
        </w:rPr>
        <w:t> </w:t>
      </w:r>
      <w:r>
        <w:rPr>
          <w:spacing w:val="-5"/>
        </w:rPr>
        <w:t>Tog-</w:t>
      </w:r>
      <w:r>
        <w:rPr>
          <w:spacing w:val="73"/>
        </w:rPr>
        <w:t> </w:t>
      </w:r>
      <w:r>
        <w:rPr>
          <w:spacing w:val="-1"/>
        </w:rPr>
        <w:t>genburger</w:t>
      </w:r>
      <w:r>
        <w:rPr>
          <w:spacing w:val="12"/>
        </w:rPr>
        <w:t> </w:t>
      </w:r>
      <w:r>
        <w:rPr>
          <w:spacing w:val="-1"/>
        </w:rPr>
        <w:t>Gemeinden</w:t>
      </w:r>
      <w:r>
        <w:rPr>
          <w:spacing w:val="12"/>
        </w:rPr>
        <w:t> </w:t>
      </w:r>
      <w:r>
        <w:rPr>
          <w:spacing w:val="-1"/>
        </w:rPr>
        <w:t>sind</w:t>
      </w:r>
      <w:r>
        <w:rPr>
          <w:spacing w:val="12"/>
        </w:rPr>
        <w:t> </w:t>
      </w:r>
      <w:r>
        <w:rPr>
          <w:spacing w:val="-1"/>
        </w:rPr>
        <w:t>Mitglieder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2"/>
        </w:rPr>
        <w:t>Vereins.</w:t>
      </w:r>
      <w:r>
        <w:rPr>
          <w:spacing w:val="5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diesen</w:t>
      </w:r>
      <w:r>
        <w:rPr>
          <w:spacing w:val="12"/>
        </w:rPr>
        <w:t> </w:t>
      </w:r>
      <w:r>
        <w:rPr>
          <w:spacing w:val="-1"/>
        </w:rPr>
        <w:t>Gemeinden</w:t>
      </w:r>
      <w:r>
        <w:rPr>
          <w:spacing w:val="12"/>
        </w:rPr>
        <w:t> </w:t>
      </w:r>
      <w:r>
        <w:rPr>
          <w:spacing w:val="-1"/>
        </w:rPr>
        <w:t>stehen</w:t>
      </w:r>
      <w:r>
        <w:rPr>
          <w:spacing w:val="12"/>
        </w:rPr>
        <w:t> </w:t>
      </w:r>
      <w:r>
        <w:rPr>
          <w:spacing w:val="-1"/>
        </w:rPr>
        <w:t>bis</w:t>
      </w:r>
      <w:r>
        <w:rPr>
          <w:spacing w:val="12"/>
        </w:rPr>
        <w:t> </w:t>
      </w:r>
      <w:r>
        <w:rPr>
          <w:spacing w:val="-1"/>
        </w:rPr>
        <w:t>anhin</w:t>
      </w:r>
      <w:r>
        <w:rPr>
          <w:spacing w:val="12"/>
        </w:rPr>
        <w:t> </w:t>
      </w:r>
      <w:r>
        <w:rPr>
          <w:spacing w:val="-1"/>
        </w:rPr>
        <w:t>305</w:t>
      </w:r>
      <w:r>
        <w:rPr>
          <w:spacing w:val="28"/>
        </w:rPr>
        <w:t> </w:t>
      </w:r>
      <w:r>
        <w:rPr>
          <w:spacing w:val="-1"/>
        </w:rPr>
        <w:t>PV-Anlagen,</w:t>
      </w:r>
      <w:r>
        <w:rPr>
          <w:spacing w:val="-20"/>
        </w:rPr>
        <w:t> </w:t>
      </w:r>
      <w:r>
        <w:rPr>
          <w:spacing w:val="-1"/>
        </w:rPr>
        <w:t>welche</w:t>
      </w:r>
      <w:r>
        <w:rPr>
          <w:spacing w:val="-13"/>
        </w:rPr>
        <w:t> </w:t>
      </w:r>
      <w:r>
        <w:rPr>
          <w:spacing w:val="-1"/>
        </w:rPr>
        <w:t>jährlich</w:t>
      </w:r>
      <w:r>
        <w:rPr>
          <w:spacing w:val="-13"/>
        </w:rPr>
        <w:t> </w:t>
      </w:r>
      <w:r>
        <w:rPr>
          <w:spacing w:val="-1"/>
        </w:rPr>
        <w:t>über</w:t>
      </w:r>
      <w:r>
        <w:rPr>
          <w:spacing w:val="-13"/>
        </w:rPr>
        <w:t> </w:t>
      </w:r>
      <w:r>
        <w:rPr/>
        <w:t>6</w:t>
      </w:r>
      <w:r>
        <w:rPr>
          <w:spacing w:val="-13"/>
        </w:rPr>
        <w:t> </w:t>
      </w:r>
      <w:r>
        <w:rPr>
          <w:spacing w:val="-2"/>
        </w:rPr>
        <w:t>GWh</w:t>
      </w:r>
      <w:r>
        <w:rPr>
          <w:spacing w:val="-13"/>
        </w:rPr>
        <w:t> </w:t>
      </w:r>
      <w:r>
        <w:rPr>
          <w:spacing w:val="-2"/>
        </w:rPr>
        <w:t>produzieren.</w:t>
      </w:r>
      <w:r>
        <w:rPr>
          <w:spacing w:val="-20"/>
        </w:rPr>
        <w:t> </w:t>
      </w:r>
      <w:r>
        <w:rPr>
          <w:spacing w:val="-1"/>
        </w:rPr>
        <w:t>Dank</w:t>
      </w:r>
      <w:r>
        <w:rPr>
          <w:spacing w:val="-13"/>
        </w:rPr>
        <w:t> </w:t>
      </w:r>
      <w:r>
        <w:rPr>
          <w:spacing w:val="-1"/>
        </w:rPr>
        <w:t>des</w:t>
      </w:r>
      <w:r>
        <w:rPr>
          <w:spacing w:val="-13"/>
        </w:rPr>
        <w:t> </w:t>
      </w:r>
      <w:r>
        <w:rPr>
          <w:spacing w:val="-1"/>
        </w:rPr>
        <w:t>Projekts</w:t>
      </w:r>
      <w:r>
        <w:rPr>
          <w:spacing w:val="-13"/>
        </w:rPr>
        <w:t> </w:t>
      </w:r>
      <w:r>
        <w:rPr>
          <w:spacing w:val="-1"/>
        </w:rPr>
        <w:t>„Heisswasser</w:t>
      </w:r>
      <w:r>
        <w:rPr>
          <w:spacing w:val="-13"/>
        </w:rPr>
        <w:t> </w:t>
      </w:r>
      <w:r>
        <w:rPr>
          <w:spacing w:val="-1"/>
        </w:rPr>
        <w:t>vom</w:t>
      </w:r>
      <w:r>
        <w:rPr>
          <w:spacing w:val="-13"/>
        </w:rPr>
        <w:t> </w:t>
      </w:r>
      <w:r>
        <w:rPr>
          <w:spacing w:val="-1"/>
        </w:rPr>
        <w:t>Dach“</w:t>
      </w:r>
      <w:r>
        <w:rPr>
          <w:spacing w:val="65"/>
        </w:rPr>
        <w:t> </w:t>
      </w:r>
      <w:r>
        <w:rPr>
          <w:spacing w:val="-2"/>
        </w:rPr>
        <w:t>wurden</w:t>
      </w:r>
      <w:r>
        <w:rPr>
          <w:spacing w:val="2"/>
        </w:rPr>
        <w:t> </w:t>
      </w:r>
      <w:r>
        <w:rPr>
          <w:spacing w:val="-1"/>
        </w:rPr>
        <w:t>innert</w:t>
      </w:r>
      <w:r>
        <w:rPr>
          <w:spacing w:val="2"/>
        </w:rPr>
        <w:t> </w:t>
      </w:r>
      <w:r>
        <w:rPr>
          <w:spacing w:val="-1"/>
        </w:rPr>
        <w:t>18</w:t>
      </w:r>
      <w:r>
        <w:rPr>
          <w:spacing w:val="2"/>
        </w:rPr>
        <w:t> </w:t>
      </w:r>
      <w:r>
        <w:rPr>
          <w:spacing w:val="-1"/>
        </w:rPr>
        <w:t>Monaten</w:t>
      </w:r>
      <w:r>
        <w:rPr>
          <w:spacing w:val="2"/>
        </w:rPr>
        <w:t> </w:t>
      </w:r>
      <w:r>
        <w:rPr>
          <w:spacing w:val="-1"/>
        </w:rPr>
        <w:t>180</w:t>
      </w:r>
      <w:r>
        <w:rPr>
          <w:spacing w:val="2"/>
        </w:rPr>
        <w:t> </w:t>
      </w:r>
      <w:r>
        <w:rPr>
          <w:spacing w:val="-1"/>
        </w:rPr>
        <w:t>thermische</w:t>
      </w:r>
      <w:r>
        <w:rPr>
          <w:spacing w:val="2"/>
        </w:rPr>
        <w:t> </w:t>
      </w:r>
      <w:r>
        <w:rPr>
          <w:spacing w:val="-1"/>
        </w:rPr>
        <w:t>Anlagen</w:t>
      </w:r>
      <w:r>
        <w:rPr>
          <w:spacing w:val="2"/>
        </w:rPr>
        <w:t> </w:t>
      </w:r>
      <w:r>
        <w:rPr>
          <w:spacing w:val="-1"/>
        </w:rPr>
        <w:t>installiert.</w:t>
      </w:r>
      <w:r>
        <w:rPr>
          <w:spacing w:val="-5"/>
        </w:rPr>
        <w:t> </w:t>
      </w:r>
      <w:r>
        <w:rPr/>
        <w:t>Der</w:t>
      </w:r>
      <w:r>
        <w:rPr>
          <w:spacing w:val="2"/>
        </w:rPr>
        <w:t> </w:t>
      </w:r>
      <w:r>
        <w:rPr>
          <w:spacing w:val="-1"/>
        </w:rPr>
        <w:t>Anteil</w:t>
      </w:r>
      <w:r>
        <w:rPr>
          <w:spacing w:val="2"/>
        </w:rPr>
        <w:t> </w:t>
      </w:r>
      <w:r>
        <w:rPr>
          <w:spacing w:val="-1"/>
        </w:rPr>
        <w:t>der</w:t>
      </w:r>
      <w:r>
        <w:rPr>
          <w:spacing w:val="2"/>
        </w:rPr>
        <w:t> </w:t>
      </w:r>
      <w:r>
        <w:rPr>
          <w:spacing w:val="-1"/>
        </w:rPr>
        <w:t>Produktion</w:t>
      </w:r>
      <w:r>
        <w:rPr>
          <w:spacing w:val="2"/>
        </w:rPr>
        <w:t> </w:t>
      </w:r>
      <w:r>
        <w:rPr>
          <w:spacing w:val="-1"/>
        </w:rPr>
        <w:t>erneu-</w:t>
      </w:r>
      <w:r>
        <w:rPr>
          <w:spacing w:val="81"/>
        </w:rPr>
        <w:t> </w:t>
      </w:r>
      <w:r>
        <w:rPr>
          <w:spacing w:val="-1"/>
        </w:rPr>
        <w:t>erbarer</w:t>
      </w:r>
      <w:r>
        <w:rPr>
          <w:spacing w:val="-2"/>
        </w:rPr>
        <w:t> Energie </w:t>
      </w:r>
      <w:r>
        <w:rPr>
          <w:spacing w:val="-1"/>
        </w:rPr>
        <w:t>stieg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den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Jahren</w:t>
      </w:r>
      <w:r>
        <w:rPr>
          <w:spacing w:val="-2"/>
        </w:rPr>
        <w:t> </w:t>
      </w:r>
      <w:r>
        <w:rPr>
          <w:spacing w:val="-1"/>
        </w:rPr>
        <w:t>seit</w:t>
      </w:r>
      <w:r>
        <w:rPr>
          <w:spacing w:val="-9"/>
        </w:rPr>
        <w:t> </w:t>
      </w:r>
      <w:r>
        <w:rPr>
          <w:spacing w:val="-2"/>
        </w:rPr>
        <w:t>Vereinsgründung </w:t>
      </w:r>
      <w:r>
        <w:rPr>
          <w:spacing w:val="-1"/>
        </w:rPr>
        <w:t>um</w:t>
      </w:r>
      <w:r>
        <w:rPr>
          <w:spacing w:val="-2"/>
        </w:rPr>
        <w:t> </w:t>
      </w:r>
      <w:r>
        <w:rPr>
          <w:spacing w:val="-1"/>
        </w:rPr>
        <w:t>35%.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40" w:bottom="280" w:left="460" w:right="720"/>
          <w:cols w:num="2" w:equalWidth="0">
            <w:col w:w="2547" w:space="132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E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-2"/>
          <w:sz w:val="40"/>
        </w:rPr>
        <w:t>gi</w:t>
      </w:r>
      <w:r>
        <w:rPr>
          <w:rFonts w:ascii="Theinhardt Black"/>
          <w:b/>
          <w:color w:val="0067B1"/>
          <w:spacing w:val="8"/>
          <w:sz w:val="40"/>
        </w:rPr>
        <w:t>e</w:t>
      </w:r>
      <w:r>
        <w:rPr>
          <w:rFonts w:ascii="Theinhardt Black"/>
          <w:b/>
          <w:color w:val="0067B1"/>
          <w:spacing w:val="9"/>
          <w:sz w:val="40"/>
        </w:rPr>
        <w:t>t</w:t>
      </w:r>
      <w:r>
        <w:rPr>
          <w:rFonts w:ascii="Theinhardt Black"/>
          <w:b/>
          <w:color w:val="0067B1"/>
          <w:sz w:val="40"/>
        </w:rPr>
        <w:t>al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0"/>
          <w:sz w:val="40"/>
        </w:rPr>
        <w:t>T</w:t>
      </w:r>
      <w:r>
        <w:rPr>
          <w:rFonts w:ascii="Theinhardt Black"/>
          <w:b/>
          <w:color w:val="0067B1"/>
          <w:spacing w:val="2"/>
          <w:sz w:val="40"/>
        </w:rPr>
        <w:t>o</w:t>
      </w:r>
      <w:r>
        <w:rPr>
          <w:rFonts w:ascii="Theinhardt Black"/>
          <w:b/>
          <w:color w:val="0067B1"/>
          <w:spacing w:val="-2"/>
          <w:sz w:val="40"/>
        </w:rPr>
        <w:t>ggenbu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-4"/>
          <w:sz w:val="40"/>
        </w:rPr>
        <w:t>g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963</w:t>
      </w:r>
      <w:r>
        <w:rPr>
          <w:rFonts w:ascii="Theinhardt Black"/>
          <w:b/>
          <w:color w:val="0067B1"/>
          <w:sz w:val="40"/>
        </w:rPr>
        <w:t>0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W</w:t>
      </w:r>
      <w:r>
        <w:rPr>
          <w:rFonts w:ascii="Theinhardt Black"/>
          <w:b/>
          <w:color w:val="0067B1"/>
          <w:spacing w:val="6"/>
          <w:sz w:val="40"/>
        </w:rPr>
        <w:t>a</w:t>
      </w:r>
      <w:r>
        <w:rPr>
          <w:rFonts w:ascii="Theinhardt Black"/>
          <w:b/>
          <w:color w:val="0067B1"/>
          <w:spacing w:val="16"/>
          <w:sz w:val="40"/>
        </w:rPr>
        <w:t>t</w:t>
      </w:r>
      <w:r>
        <w:rPr>
          <w:rFonts w:ascii="Theinhardt Black"/>
          <w:b/>
          <w:color w:val="0067B1"/>
          <w:spacing w:val="7"/>
          <w:sz w:val="40"/>
        </w:rPr>
        <w:t>t</w:t>
      </w:r>
      <w:r>
        <w:rPr>
          <w:rFonts w:ascii="Theinhardt Black"/>
          <w:b/>
          <w:color w:val="0067B1"/>
          <w:sz w:val="40"/>
        </w:rPr>
        <w:t>wi</w:t>
      </w:r>
      <w:r>
        <w:rPr>
          <w:rFonts w:ascii="Theinhardt Black"/>
          <w:b/>
          <w:color w:val="0067B1"/>
          <w:spacing w:val="8"/>
          <w:sz w:val="40"/>
        </w:rPr>
        <w:t>l</w:t>
      </w:r>
      <w:r>
        <w:rPr>
          <w:rFonts w:ascii="Theinhardt Black"/>
          <w:b/>
          <w:color w:val="0067B1"/>
          <w:spacing w:val="-8"/>
          <w:sz w:val="40"/>
        </w:rPr>
        <w:t>/</w:t>
      </w:r>
      <w:r>
        <w:rPr>
          <w:rFonts w:ascii="Theinhardt Black"/>
          <w:b/>
          <w:color w:val="0067B1"/>
          <w:spacing w:val="-2"/>
          <w:sz w:val="40"/>
        </w:rPr>
        <w:t>SG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20"/>
        </w:sectPr>
      </w:pPr>
    </w:p>
    <w:p>
      <w:pPr>
        <w:pStyle w:val="BodyText"/>
        <w:spacing w:line="230" w:lineRule="exact" w:before="52"/>
        <w:ind w:right="8"/>
        <w:jc w:val="both"/>
      </w:pPr>
      <w:r>
        <w:rPr>
          <w:spacing w:val="-1"/>
        </w:rPr>
        <w:t>Die</w:t>
      </w:r>
      <w:r>
        <w:rPr>
          <w:spacing w:val="23"/>
        </w:rPr>
        <w:t> </w:t>
      </w:r>
      <w:r>
        <w:rPr/>
        <w:t>längerfristige</w:t>
      </w:r>
      <w:r>
        <w:rPr>
          <w:spacing w:val="13"/>
        </w:rPr>
        <w:t> </w:t>
      </w:r>
      <w:r>
        <w:rPr/>
        <w:t>Vision</w:t>
      </w:r>
      <w:r>
        <w:rPr>
          <w:spacing w:val="23"/>
        </w:rPr>
        <w:t> </w:t>
      </w:r>
      <w:r>
        <w:rPr/>
        <w:t>des</w:t>
      </w:r>
      <w:r>
        <w:rPr>
          <w:spacing w:val="23"/>
        </w:rPr>
        <w:t> </w:t>
      </w:r>
      <w:r>
        <w:rPr>
          <w:spacing w:val="-1"/>
        </w:rPr>
        <w:t>Energietals</w:t>
      </w:r>
      <w:r>
        <w:rPr>
          <w:spacing w:val="23"/>
        </w:rPr>
        <w:t> </w:t>
      </w:r>
      <w:r>
        <w:rPr>
          <w:spacing w:val="-3"/>
        </w:rPr>
        <w:t>Toggenburg</w:t>
      </w:r>
      <w:r>
        <w:rPr>
          <w:spacing w:val="-4"/>
        </w:rPr>
        <w:t> </w:t>
      </w:r>
      <w:r>
        <w:rPr/>
        <w:t>ist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>
          <w:spacing w:val="-1"/>
        </w:rPr>
        <w:t>Energieautarkie.</w:t>
      </w:r>
      <w:r>
        <w:rPr>
          <w:spacing w:val="-15"/>
        </w:rPr>
        <w:t> </w:t>
      </w:r>
      <w:r>
        <w:rPr/>
        <w:t>Um</w:t>
      </w:r>
      <w:r>
        <w:rPr>
          <w:spacing w:val="-4"/>
        </w:rPr>
        <w:t> </w:t>
      </w:r>
      <w:r>
        <w:rPr/>
        <w:t>das</w:t>
      </w:r>
      <w:r>
        <w:rPr>
          <w:spacing w:val="38"/>
        </w:rPr>
        <w:t> </w:t>
      </w:r>
      <w:r>
        <w:rPr>
          <w:spacing w:val="-3"/>
        </w:rPr>
        <w:t>Toggenburg</w:t>
      </w:r>
      <w:r>
        <w:rPr>
          <w:spacing w:val="32"/>
        </w:rPr>
        <w:t> </w:t>
      </w:r>
      <w:r>
        <w:rPr>
          <w:spacing w:val="-1"/>
        </w:rPr>
        <w:t>unabhängig</w:t>
      </w:r>
      <w:r>
        <w:rPr>
          <w:spacing w:val="33"/>
        </w:rPr>
        <w:t> </w:t>
      </w:r>
      <w:r>
        <w:rPr/>
        <w:t>von</w:t>
      </w:r>
      <w:r>
        <w:rPr>
          <w:spacing w:val="32"/>
        </w:rPr>
        <w:t> </w:t>
      </w:r>
      <w:r>
        <w:rPr>
          <w:spacing w:val="-1"/>
        </w:rPr>
        <w:t>teuren</w:t>
      </w:r>
      <w:r>
        <w:rPr>
          <w:spacing w:val="33"/>
        </w:rPr>
        <w:t> </w:t>
      </w:r>
      <w:r>
        <w:rPr/>
        <w:t>Ener-</w:t>
      </w:r>
      <w:r>
        <w:rPr>
          <w:spacing w:val="33"/>
        </w:rPr>
        <w:t> </w:t>
      </w:r>
      <w:r>
        <w:rPr/>
        <w:t>gieimporten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>
          <w:spacing w:val="-1"/>
        </w:rPr>
        <w:t>machen,</w:t>
      </w:r>
      <w:r>
        <w:rPr>
          <w:spacing w:val="38"/>
        </w:rPr>
        <w:t> </w:t>
      </w:r>
      <w:r>
        <w:rPr/>
        <w:t>sind</w:t>
      </w:r>
      <w:r>
        <w:rPr>
          <w:spacing w:val="1"/>
        </w:rPr>
        <w:t> </w:t>
      </w:r>
      <w:r>
        <w:rPr>
          <w:spacing w:val="-2"/>
        </w:rPr>
        <w:t>grosse</w:t>
      </w:r>
      <w:r>
        <w:rPr>
          <w:spacing w:val="1"/>
        </w:rPr>
        <w:t> </w:t>
      </w:r>
      <w:r>
        <w:rPr/>
        <w:t>An-</w:t>
      </w:r>
      <w:r>
        <w:rPr>
          <w:spacing w:val="29"/>
        </w:rPr>
        <w:t> </w:t>
      </w:r>
      <w:r>
        <w:rPr>
          <w:spacing w:val="-1"/>
        </w:rPr>
        <w:t>strengungen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allen</w:t>
      </w:r>
      <w:r>
        <w:rPr>
          <w:spacing w:val="-13"/>
        </w:rPr>
        <w:t> </w:t>
      </w:r>
      <w:r>
        <w:rPr>
          <w:spacing w:val="-1"/>
        </w:rPr>
        <w:t>Bereichen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>
          <w:spacing w:val="-1"/>
        </w:rPr>
        <w:t>Energie-</w:t>
      </w:r>
      <w:r>
        <w:rPr>
          <w:spacing w:val="26"/>
        </w:rPr>
        <w:t> </w:t>
      </w:r>
      <w:r>
        <w:rPr/>
        <w:t>effizienz</w:t>
      </w:r>
      <w:r>
        <w:rPr>
          <w:spacing w:val="33"/>
        </w:rPr>
        <w:t> </w:t>
      </w:r>
      <w:r>
        <w:rPr>
          <w:spacing w:val="-1"/>
        </w:rPr>
        <w:t>sowie</w:t>
      </w:r>
      <w:r>
        <w:rPr>
          <w:spacing w:val="34"/>
        </w:rPr>
        <w:t> </w:t>
      </w:r>
      <w:r>
        <w:rPr/>
        <w:t>der</w:t>
      </w:r>
      <w:r>
        <w:rPr>
          <w:spacing w:val="33"/>
        </w:rPr>
        <w:t> </w:t>
      </w:r>
      <w:r>
        <w:rPr>
          <w:spacing w:val="-1"/>
        </w:rPr>
        <w:t>Energieproduktion</w:t>
      </w:r>
      <w:r>
        <w:rPr>
          <w:spacing w:val="34"/>
        </w:rPr>
        <w:t> </w:t>
      </w:r>
      <w:r>
        <w:rPr/>
        <w:t>aus</w:t>
      </w:r>
      <w:r>
        <w:rPr>
          <w:spacing w:val="24"/>
        </w:rPr>
        <w:t> </w:t>
      </w:r>
      <w:r>
        <w:rPr>
          <w:spacing w:val="-1"/>
        </w:rPr>
        <w:t>erneuerbaren</w:t>
      </w:r>
      <w:r>
        <w:rPr>
          <w:spacing w:val="22"/>
        </w:rPr>
        <w:t> </w:t>
      </w:r>
      <w:r>
        <w:rPr/>
        <w:t>und</w:t>
      </w:r>
      <w:r>
        <w:rPr>
          <w:spacing w:val="23"/>
        </w:rPr>
        <w:t> </w:t>
      </w:r>
      <w:r>
        <w:rPr>
          <w:spacing w:val="-1"/>
        </w:rPr>
        <w:t>einheimischen</w:t>
      </w:r>
      <w:r>
        <w:rPr>
          <w:spacing w:val="23"/>
        </w:rPr>
        <w:t> </w:t>
      </w:r>
      <w:r>
        <w:rPr>
          <w:spacing w:val="-1"/>
        </w:rPr>
        <w:t>Ressour-</w:t>
      </w:r>
      <w:r>
        <w:rPr>
          <w:spacing w:val="45"/>
        </w:rPr>
        <w:t> </w:t>
      </w:r>
      <w:r>
        <w:rPr/>
        <w:t>cen nötig.</w:t>
      </w:r>
    </w:p>
    <w:p>
      <w:pPr>
        <w:pStyle w:val="BodyText"/>
        <w:spacing w:line="230" w:lineRule="exact"/>
        <w:ind w:right="0" w:firstLine="226"/>
        <w:jc w:val="both"/>
      </w:pPr>
      <w:r>
        <w:rPr>
          <w:spacing w:val="1"/>
        </w:rPr>
        <w:t>Das</w:t>
      </w:r>
      <w:r>
        <w:rPr>
          <w:spacing w:val="-19"/>
        </w:rPr>
        <w:t> </w:t>
      </w:r>
      <w:r>
        <w:rPr>
          <w:spacing w:val="-3"/>
        </w:rPr>
        <w:t>Toggenburg</w:t>
      </w:r>
      <w:r>
        <w:rPr>
          <w:spacing w:val="-5"/>
        </w:rPr>
        <w:t> </w:t>
      </w:r>
      <w:r>
        <w:rPr/>
        <w:t>verfügt</w:t>
      </w:r>
      <w:r>
        <w:rPr>
          <w:spacing w:val="-5"/>
        </w:rPr>
        <w:t> </w:t>
      </w:r>
      <w:r>
        <w:rPr/>
        <w:t>über</w:t>
      </w:r>
      <w:r>
        <w:rPr>
          <w:spacing w:val="-5"/>
        </w:rPr>
        <w:t> </w:t>
      </w:r>
      <w:r>
        <w:rPr/>
        <w:t>viele</w:t>
      </w:r>
      <w:r>
        <w:rPr>
          <w:spacing w:val="-5"/>
        </w:rPr>
        <w:t> </w:t>
      </w:r>
      <w:r>
        <w:rPr/>
        <w:t>unge-</w:t>
      </w:r>
      <w:r>
        <w:rPr>
          <w:spacing w:val="24"/>
        </w:rPr>
        <w:t> </w:t>
      </w:r>
      <w:r>
        <w:rPr>
          <w:spacing w:val="1"/>
        </w:rPr>
        <w:t>nutzte</w:t>
      </w:r>
      <w:r>
        <w:rPr>
          <w:spacing w:val="17"/>
        </w:rPr>
        <w:t> </w:t>
      </w:r>
      <w:r>
        <w:rPr>
          <w:spacing w:val="-1"/>
        </w:rPr>
        <w:t>Energiequellen.</w:t>
      </w:r>
      <w:r>
        <w:rPr>
          <w:spacing w:val="6"/>
        </w:rPr>
        <w:t> </w:t>
      </w:r>
      <w:r>
        <w:rPr>
          <w:spacing w:val="-1"/>
        </w:rPr>
        <w:t>Diese</w:t>
      </w:r>
      <w:r>
        <w:rPr>
          <w:spacing w:val="17"/>
        </w:rPr>
        <w:t> </w:t>
      </w:r>
      <w:r>
        <w:rPr>
          <w:spacing w:val="-1"/>
        </w:rPr>
        <w:t>Ressourcen</w:t>
      </w:r>
      <w:r>
        <w:rPr>
          <w:spacing w:val="33"/>
        </w:rPr>
        <w:t> </w:t>
      </w:r>
      <w:r>
        <w:rPr/>
        <w:t>will</w:t>
      </w:r>
      <w:r>
        <w:rPr>
          <w:spacing w:val="10"/>
        </w:rPr>
        <w:t> </w:t>
      </w:r>
      <w:r>
        <w:rPr/>
        <w:t>der</w:t>
      </w:r>
      <w:r>
        <w:rPr>
          <w:spacing w:val="10"/>
        </w:rPr>
        <w:t> </w:t>
      </w:r>
      <w:r>
        <w:rPr>
          <w:spacing w:val="-2"/>
        </w:rPr>
        <w:t>Förderverein</w:t>
      </w:r>
      <w:r>
        <w:rPr>
          <w:spacing w:val="10"/>
        </w:rPr>
        <w:t> </w:t>
      </w:r>
      <w:r>
        <w:rPr>
          <w:spacing w:val="-1"/>
        </w:rPr>
        <w:t>„energietal</w:t>
      </w:r>
      <w:r>
        <w:rPr>
          <w:spacing w:val="10"/>
        </w:rPr>
        <w:t> </w:t>
      </w:r>
      <w:r>
        <w:rPr/>
        <w:t>toggen-</w:t>
      </w:r>
      <w:r>
        <w:rPr>
          <w:spacing w:val="33"/>
        </w:rPr>
        <w:t> </w:t>
      </w:r>
      <w:r>
        <w:rPr>
          <w:spacing w:val="-2"/>
        </w:rPr>
        <w:t>burg“</w:t>
      </w:r>
      <w:r>
        <w:rPr>
          <w:spacing w:val="9"/>
        </w:rPr>
        <w:t> </w:t>
      </w:r>
      <w:r>
        <w:rPr/>
        <w:t>nutzen</w:t>
      </w:r>
      <w:r>
        <w:rPr>
          <w:spacing w:val="24"/>
        </w:rPr>
        <w:t> </w:t>
      </w:r>
      <w:r>
        <w:rPr/>
        <w:t>und</w:t>
      </w:r>
      <w:r>
        <w:rPr>
          <w:spacing w:val="24"/>
        </w:rPr>
        <w:t> </w:t>
      </w:r>
      <w:r>
        <w:rPr/>
        <w:t>für</w:t>
      </w:r>
      <w:r>
        <w:rPr>
          <w:spacing w:val="24"/>
        </w:rPr>
        <w:t> </w:t>
      </w:r>
      <w:r>
        <w:rPr/>
        <w:t>eine</w:t>
      </w:r>
      <w:r>
        <w:rPr>
          <w:spacing w:val="24"/>
        </w:rPr>
        <w:t> </w:t>
      </w:r>
      <w:r>
        <w:rPr/>
        <w:t>nachhaltige</w:t>
      </w:r>
      <w:r>
        <w:rPr>
          <w:spacing w:val="24"/>
        </w:rPr>
        <w:t> </w:t>
      </w:r>
      <w:r>
        <w:rPr/>
        <w:t>Zu-</w:t>
      </w:r>
      <w:r>
        <w:rPr>
          <w:spacing w:val="28"/>
        </w:rPr>
        <w:t> </w:t>
      </w:r>
      <w:r>
        <w:rPr>
          <w:spacing w:val="1"/>
        </w:rPr>
        <w:t>kunft</w:t>
      </w:r>
      <w:r>
        <w:rPr>
          <w:spacing w:val="16"/>
        </w:rPr>
        <w:t> </w:t>
      </w:r>
      <w:r>
        <w:rPr/>
        <w:t>verfügbar</w:t>
      </w:r>
      <w:r>
        <w:rPr>
          <w:spacing w:val="16"/>
        </w:rPr>
        <w:t> </w:t>
      </w:r>
      <w:r>
        <w:rPr>
          <w:spacing w:val="-1"/>
        </w:rPr>
        <w:t>machen.</w:t>
      </w:r>
      <w:r>
        <w:rPr>
          <w:spacing w:val="5"/>
        </w:rPr>
        <w:t> </w:t>
      </w:r>
      <w:r>
        <w:rPr/>
        <w:t>Deshalb</w:t>
      </w:r>
      <w:r>
        <w:rPr>
          <w:spacing w:val="16"/>
        </w:rPr>
        <w:t> </w:t>
      </w:r>
      <w:r>
        <w:rPr>
          <w:spacing w:val="-2"/>
        </w:rPr>
        <w:t>wurde</w:t>
      </w:r>
      <w:r>
        <w:rPr>
          <w:spacing w:val="32"/>
        </w:rPr>
        <w:t> </w:t>
      </w:r>
      <w:r>
        <w:rPr/>
        <w:t>eine</w:t>
      </w:r>
      <w:r>
        <w:rPr>
          <w:spacing w:val="40"/>
        </w:rPr>
        <w:t> </w:t>
      </w:r>
      <w:r>
        <w:rPr/>
        <w:t>Finanzierungsgesellschaft</w:t>
      </w:r>
      <w:r>
        <w:rPr>
          <w:spacing w:val="41"/>
        </w:rPr>
        <w:t> </w:t>
      </w:r>
      <w:r>
        <w:rPr/>
        <w:t>gegründet,</w:t>
      </w:r>
      <w:r>
        <w:rPr>
          <w:spacing w:val="23"/>
        </w:rPr>
        <w:t> </w:t>
      </w:r>
      <w:r>
        <w:rPr/>
        <w:t>welche</w:t>
      </w:r>
      <w:r>
        <w:rPr>
          <w:spacing w:val="41"/>
        </w:rPr>
        <w:t> </w:t>
      </w:r>
      <w:r>
        <w:rPr/>
        <w:t>sich</w:t>
      </w:r>
      <w:r>
        <w:rPr>
          <w:spacing w:val="42"/>
        </w:rPr>
        <w:t> </w:t>
      </w:r>
      <w:r>
        <w:rPr>
          <w:spacing w:val="-1"/>
        </w:rPr>
        <w:t>an</w:t>
      </w:r>
      <w:r>
        <w:rPr>
          <w:spacing w:val="41"/>
        </w:rPr>
        <w:t> </w:t>
      </w:r>
      <w:r>
        <w:rPr>
          <w:spacing w:val="-2"/>
        </w:rPr>
        <w:t>PV-Anlagen</w:t>
      </w:r>
      <w:r>
        <w:rPr>
          <w:spacing w:val="42"/>
        </w:rPr>
        <w:t> </w:t>
      </w:r>
      <w:r>
        <w:rPr/>
        <w:t>und</w:t>
      </w:r>
      <w:r>
        <w:rPr>
          <w:spacing w:val="42"/>
        </w:rPr>
        <w:t> </w:t>
      </w:r>
      <w:r>
        <w:rPr>
          <w:spacing w:val="-1"/>
        </w:rPr>
        <w:t>weiteren</w:t>
      </w:r>
      <w:r>
        <w:rPr>
          <w:spacing w:val="25"/>
        </w:rPr>
        <w:t> </w:t>
      </w:r>
      <w:r>
        <w:rPr>
          <w:spacing w:val="-1"/>
        </w:rPr>
        <w:t>Projekten</w:t>
      </w:r>
      <w:r>
        <w:rPr>
          <w:spacing w:val="-14"/>
        </w:rPr>
        <w:t> </w:t>
      </w:r>
      <w:r>
        <w:rPr/>
        <w:t>im</w:t>
      </w:r>
      <w:r>
        <w:rPr>
          <w:spacing w:val="-14"/>
        </w:rPr>
        <w:t> </w:t>
      </w:r>
      <w:r>
        <w:rPr>
          <w:spacing w:val="-1"/>
        </w:rPr>
        <w:t>Bereich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nachhaltigen</w:t>
      </w:r>
      <w:r>
        <w:rPr>
          <w:spacing w:val="-14"/>
        </w:rPr>
        <w:t> </w:t>
      </w:r>
      <w:r>
        <w:rPr/>
        <w:t>Ener-</w:t>
      </w:r>
      <w:r>
        <w:rPr>
          <w:spacing w:val="25"/>
        </w:rPr>
        <w:t> </w:t>
      </w:r>
      <w:r>
        <w:rPr>
          <w:spacing w:val="-1"/>
        </w:rPr>
        <w:t>gieproduktion</w:t>
      </w:r>
      <w:r>
        <w:rPr/>
        <w:t> beteiligt.</w:t>
      </w:r>
    </w:p>
    <w:p>
      <w:pPr>
        <w:pStyle w:val="BodyText"/>
        <w:spacing w:line="230" w:lineRule="exact"/>
        <w:ind w:right="8" w:firstLine="226"/>
        <w:jc w:val="both"/>
      </w:pPr>
      <w:r>
        <w:rPr>
          <w:spacing w:val="-2"/>
        </w:rPr>
        <w:t>Weitere</w:t>
      </w:r>
      <w:r>
        <w:rPr>
          <w:spacing w:val="26"/>
        </w:rPr>
        <w:t> </w:t>
      </w:r>
      <w:r>
        <w:rPr/>
        <w:t>wichtige</w:t>
      </w:r>
      <w:r>
        <w:rPr>
          <w:spacing w:val="27"/>
        </w:rPr>
        <w:t> </w:t>
      </w:r>
      <w:r>
        <w:rPr>
          <w:spacing w:val="-1"/>
        </w:rPr>
        <w:t>Eckpfeiler</w:t>
      </w:r>
      <w:r>
        <w:rPr>
          <w:spacing w:val="26"/>
        </w:rPr>
        <w:t> </w:t>
      </w:r>
      <w:r>
        <w:rPr/>
        <w:t>des</w:t>
      </w:r>
      <w:r>
        <w:rPr>
          <w:spacing w:val="16"/>
        </w:rPr>
        <w:t> </w:t>
      </w:r>
      <w:r>
        <w:rPr>
          <w:spacing w:val="-3"/>
        </w:rPr>
        <w:t>Vereins</w:t>
      </w:r>
      <w:r>
        <w:rPr>
          <w:spacing w:val="21"/>
        </w:rPr>
        <w:t> </w:t>
      </w:r>
      <w:r>
        <w:rPr/>
        <w:t>sind</w:t>
      </w:r>
      <w:r>
        <w:rPr>
          <w:spacing w:val="17"/>
        </w:rPr>
        <w:t> </w:t>
      </w:r>
      <w:r>
        <w:rPr/>
        <w:t>die</w:t>
      </w:r>
      <w:r>
        <w:rPr>
          <w:spacing w:val="17"/>
        </w:rPr>
        <w:t> </w:t>
      </w:r>
      <w:r>
        <w:rPr/>
        <w:t>eigens</w:t>
      </w:r>
      <w:r>
        <w:rPr>
          <w:spacing w:val="17"/>
        </w:rPr>
        <w:t> </w:t>
      </w:r>
      <w:r>
        <w:rPr/>
        <w:t>gegründete</w:t>
      </w:r>
      <w:r>
        <w:rPr>
          <w:spacing w:val="17"/>
        </w:rPr>
        <w:t> </w:t>
      </w:r>
      <w:r>
        <w:rPr>
          <w:spacing w:val="-1"/>
        </w:rPr>
        <w:t>Energieakade-</w:t>
      </w:r>
      <w:r>
        <w:rPr>
          <w:spacing w:val="28"/>
        </w:rPr>
        <w:t> </w:t>
      </w:r>
      <w:r>
        <w:rPr/>
        <w:t>mie</w:t>
      </w:r>
      <w:r>
        <w:rPr>
          <w:spacing w:val="-11"/>
        </w:rPr>
        <w:t> </w:t>
      </w:r>
      <w:r>
        <w:rPr/>
        <w:t>und</w:t>
      </w:r>
      <w:r>
        <w:rPr>
          <w:spacing w:val="-12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1"/>
        </w:rPr>
        <w:t>Energieberatungsstelle.</w:t>
      </w:r>
      <w:r>
        <w:rPr>
          <w:spacing w:val="-22"/>
        </w:rPr>
        <w:t> </w:t>
      </w:r>
      <w:r>
        <w:rPr/>
        <w:t>Mit</w:t>
      </w:r>
      <w:r>
        <w:rPr>
          <w:spacing w:val="-11"/>
        </w:rPr>
        <w:t> </w:t>
      </w:r>
      <w:r>
        <w:rPr/>
        <w:t>ver-</w:t>
      </w:r>
      <w:r>
        <w:rPr>
          <w:spacing w:val="36"/>
        </w:rPr>
        <w:t> </w:t>
      </w:r>
      <w:r>
        <w:rPr>
          <w:spacing w:val="-1"/>
        </w:rPr>
        <w:t>schiedenen</w:t>
      </w:r>
      <w:r>
        <w:rPr>
          <w:spacing w:val="15"/>
        </w:rPr>
        <w:t> </w:t>
      </w:r>
      <w:r>
        <w:rPr>
          <w:spacing w:val="-1"/>
        </w:rPr>
        <w:t>Anlässen,</w:t>
      </w:r>
      <w:r>
        <w:rPr>
          <w:spacing w:val="4"/>
        </w:rPr>
        <w:t> </w:t>
      </w:r>
      <w:r>
        <w:rPr/>
        <w:t>Publikationen,</w:t>
      </w:r>
      <w:r>
        <w:rPr>
          <w:spacing w:val="4"/>
        </w:rPr>
        <w:t> </w:t>
      </w:r>
      <w:r>
        <w:rPr/>
        <w:t>Schu-</w:t>
      </w:r>
      <w:r>
        <w:rPr>
          <w:spacing w:val="31"/>
        </w:rPr>
        <w:t> </w:t>
      </w:r>
      <w:r>
        <w:rPr/>
        <w:t>lungen,</w:t>
      </w:r>
      <w:r>
        <w:rPr>
          <w:spacing w:val="46"/>
        </w:rPr>
        <w:t> </w:t>
      </w:r>
      <w:r>
        <w:rPr>
          <w:spacing w:val="-1"/>
        </w:rPr>
        <w:t>Newslettern,</w:t>
      </w:r>
      <w:r>
        <w:rPr>
          <w:spacing w:val="47"/>
        </w:rPr>
        <w:t> </w:t>
      </w:r>
      <w:r>
        <w:rPr/>
        <w:t>Messeauftritten</w:t>
      </w:r>
      <w:r>
        <w:rPr>
          <w:spacing w:val="9"/>
        </w:rPr>
        <w:t> </w:t>
      </w:r>
      <w:r>
        <w:rPr/>
        <w:t>und</w:t>
      </w:r>
      <w:r>
        <w:rPr>
          <w:spacing w:val="46"/>
        </w:rPr>
        <w:t> </w:t>
      </w:r>
      <w:r>
        <w:rPr>
          <w:spacing w:val="-1"/>
        </w:rPr>
        <w:t>Energieberatungen</w:t>
      </w:r>
      <w:r>
        <w:rPr>
          <w:spacing w:val="13"/>
        </w:rPr>
        <w:t> </w:t>
      </w:r>
      <w:r>
        <w:rPr/>
        <w:t>unterstützte</w:t>
      </w:r>
      <w:r>
        <w:rPr>
          <w:spacing w:val="13"/>
        </w:rPr>
        <w:t> </w:t>
      </w:r>
      <w:r>
        <w:rPr>
          <w:spacing w:val="-1"/>
        </w:rPr>
        <w:t>„energietal</w:t>
      </w:r>
      <w:r>
        <w:rPr>
          <w:spacing w:val="45"/>
        </w:rPr>
        <w:t> </w:t>
      </w:r>
      <w:r>
        <w:rPr>
          <w:spacing w:val="-1"/>
        </w:rPr>
        <w:t>toggenburg“</w:t>
      </w:r>
      <w:r>
        <w:rPr>
          <w:spacing w:val="5"/>
        </w:rPr>
        <w:t> </w:t>
      </w:r>
      <w:r>
        <w:rPr>
          <w:spacing w:val="-1"/>
        </w:rPr>
        <w:t>seit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/>
        <w:t>Gründung</w:t>
      </w:r>
      <w:r>
        <w:rPr>
          <w:spacing w:val="19"/>
        </w:rPr>
        <w:t> </w:t>
      </w:r>
      <w:r>
        <w:rPr/>
        <w:t>im</w:t>
      </w:r>
      <w:r>
        <w:rPr>
          <w:spacing w:val="19"/>
        </w:rPr>
        <w:t> </w:t>
      </w:r>
      <w:r>
        <w:rPr/>
        <w:t>Jahr</w:t>
      </w:r>
      <w:r>
        <w:rPr>
          <w:spacing w:val="29"/>
        </w:rPr>
        <w:t> </w:t>
      </w:r>
      <w:r>
        <w:rPr/>
        <w:t>2009</w:t>
      </w:r>
      <w:r>
        <w:rPr>
          <w:spacing w:val="41"/>
        </w:rPr>
        <w:t> </w:t>
      </w:r>
      <w:r>
        <w:rPr/>
        <w:t>den</w:t>
      </w:r>
      <w:r>
        <w:rPr>
          <w:spacing w:val="42"/>
        </w:rPr>
        <w:t> </w:t>
      </w:r>
      <w:r>
        <w:rPr>
          <w:spacing w:val="1"/>
        </w:rPr>
        <w:t>Bau</w:t>
      </w:r>
      <w:r>
        <w:rPr>
          <w:spacing w:val="41"/>
        </w:rPr>
        <w:t> </w:t>
      </w:r>
      <w:r>
        <w:rPr/>
        <w:t>von</w:t>
      </w:r>
      <w:r>
        <w:rPr>
          <w:spacing w:val="42"/>
        </w:rPr>
        <w:t> </w:t>
      </w:r>
      <w:r>
        <w:rPr/>
        <w:t>256</w:t>
      </w:r>
      <w:r>
        <w:rPr>
          <w:spacing w:val="42"/>
        </w:rPr>
        <w:t> </w:t>
      </w:r>
      <w:r>
        <w:rPr>
          <w:spacing w:val="-2"/>
        </w:rPr>
        <w:t>PV-Anlagen</w:t>
      </w:r>
      <w:r>
        <w:rPr>
          <w:spacing w:val="41"/>
        </w:rPr>
        <w:t> </w:t>
      </w:r>
      <w:r>
        <w:rPr/>
        <w:t>und</w:t>
      </w:r>
    </w:p>
    <w:p>
      <w:pPr>
        <w:pStyle w:val="BodyText"/>
        <w:spacing w:line="230" w:lineRule="exact"/>
        <w:ind w:right="0"/>
        <w:jc w:val="both"/>
      </w:pPr>
      <w:r>
        <w:rPr/>
        <w:t>259</w:t>
      </w:r>
      <w:r>
        <w:rPr>
          <w:spacing w:val="10"/>
        </w:rPr>
        <w:t> </w:t>
      </w:r>
      <w:r>
        <w:rPr>
          <w:spacing w:val="-1"/>
        </w:rPr>
        <w:t>thermischen</w:t>
      </w:r>
      <w:r>
        <w:rPr>
          <w:spacing w:val="10"/>
        </w:rPr>
        <w:t> </w:t>
      </w:r>
      <w:r>
        <w:rPr>
          <w:spacing w:val="-1"/>
        </w:rPr>
        <w:t>Anlagen.</w:t>
      </w:r>
      <w:r>
        <w:rPr>
          <w:spacing w:val="47"/>
        </w:rPr>
        <w:t> </w:t>
      </w:r>
      <w:r>
        <w:rPr/>
        <w:t>Um</w:t>
      </w:r>
      <w:r>
        <w:rPr>
          <w:spacing w:val="10"/>
        </w:rPr>
        <w:t> </w:t>
      </w:r>
      <w:r>
        <w:rPr/>
        <w:t>die</w:t>
      </w:r>
      <w:r>
        <w:rPr>
          <w:spacing w:val="10"/>
        </w:rPr>
        <w:t> </w:t>
      </w:r>
      <w:r>
        <w:rPr/>
        <w:t>Ziele</w:t>
      </w:r>
      <w:r>
        <w:rPr>
          <w:spacing w:val="34"/>
        </w:rPr>
        <w:t> </w:t>
      </w:r>
      <w:r>
        <w:rPr/>
        <w:t>der</w:t>
      </w:r>
      <w:r>
        <w:rPr>
          <w:spacing w:val="7"/>
        </w:rPr>
        <w:t> </w:t>
      </w:r>
      <w:r>
        <w:rPr>
          <w:spacing w:val="-1"/>
        </w:rPr>
        <w:t>2000-Watt-Gesellschaft</w:t>
      </w:r>
      <w:r>
        <w:rPr>
          <w:spacing w:val="7"/>
        </w:rPr>
        <w:t> </w:t>
      </w:r>
      <w:r>
        <w:rPr/>
        <w:t>zu</w:t>
      </w:r>
      <w:r>
        <w:rPr>
          <w:spacing w:val="7"/>
        </w:rPr>
        <w:t> </w:t>
      </w:r>
      <w:r>
        <w:rPr>
          <w:spacing w:val="-1"/>
        </w:rPr>
        <w:t>erreichen,</w:t>
      </w:r>
      <w:r>
        <w:rPr>
          <w:spacing w:val="47"/>
        </w:rPr>
        <w:t> </w:t>
      </w:r>
      <w:r>
        <w:rPr>
          <w:spacing w:val="-1"/>
        </w:rPr>
        <w:t>muss</w:t>
      </w:r>
      <w:r>
        <w:rPr>
          <w:spacing w:val="-4"/>
        </w:rPr>
        <w:t> </w:t>
      </w:r>
      <w:r>
        <w:rPr/>
        <w:t>sich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>
          <w:spacing w:val="-2"/>
        </w:rPr>
        <w:t>Förderverein</w:t>
      </w:r>
      <w:r>
        <w:rPr>
          <w:spacing w:val="-4"/>
        </w:rPr>
        <w:t> </w:t>
      </w:r>
      <w:r>
        <w:rPr/>
        <w:t>künftig</w:t>
      </w:r>
      <w:r>
        <w:rPr>
          <w:spacing w:val="-4"/>
        </w:rPr>
        <w:t> </w:t>
      </w:r>
      <w:r>
        <w:rPr/>
        <w:t>noch</w:t>
      </w:r>
      <w:r>
        <w:rPr>
          <w:spacing w:val="-4"/>
        </w:rPr>
        <w:t> </w:t>
      </w:r>
      <w:r>
        <w:rPr/>
        <w:t>er-</w:t>
      </w:r>
      <w:r>
        <w:rPr>
          <w:spacing w:val="39"/>
        </w:rPr>
        <w:t> </w:t>
      </w:r>
      <w:r>
        <w:rPr/>
        <w:t>heblich</w:t>
      </w:r>
      <w:r>
        <w:rPr>
          <w:spacing w:val="-9"/>
        </w:rPr>
        <w:t> </w:t>
      </w:r>
      <w:r>
        <w:rPr>
          <w:spacing w:val="-1"/>
        </w:rPr>
        <w:t>mehr</w:t>
      </w:r>
      <w:r>
        <w:rPr>
          <w:spacing w:val="-9"/>
        </w:rPr>
        <w:t> </w:t>
      </w:r>
      <w:r>
        <w:rPr/>
        <w:t>für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>
          <w:spacing w:val="-1"/>
        </w:rPr>
        <w:t>Energieeffizienz</w:t>
      </w:r>
      <w:r>
        <w:rPr>
          <w:spacing w:val="-9"/>
        </w:rPr>
        <w:t> </w:t>
      </w:r>
      <w:r>
        <w:rPr/>
        <w:t>im</w:t>
      </w:r>
      <w:r>
        <w:rPr>
          <w:spacing w:val="-9"/>
        </w:rPr>
        <w:t> </w:t>
      </w:r>
      <w:r>
        <w:rPr/>
        <w:t>Ge-</w:t>
      </w:r>
      <w:r>
        <w:rPr>
          <w:spacing w:val="38"/>
        </w:rPr>
        <w:t> </w:t>
      </w:r>
      <w:r>
        <w:rPr>
          <w:spacing w:val="-1"/>
        </w:rPr>
        <w:t>bäudebereich</w:t>
      </w:r>
      <w:r>
        <w:rPr>
          <w:spacing w:val="4"/>
        </w:rPr>
        <w:t> </w:t>
      </w:r>
      <w:r>
        <w:rPr>
          <w:spacing w:val="-1"/>
        </w:rPr>
        <w:t>engagieren.</w:t>
      </w:r>
      <w:r>
        <w:rPr>
          <w:spacing w:val="41"/>
        </w:rPr>
        <w:t> </w:t>
      </w:r>
      <w:r>
        <w:rPr/>
        <w:t>Erst</w:t>
      </w:r>
      <w:r>
        <w:rPr>
          <w:spacing w:val="4"/>
        </w:rPr>
        <w:t> </w:t>
      </w:r>
      <w:r>
        <w:rPr>
          <w:spacing w:val="-1"/>
        </w:rPr>
        <w:t>dadurch</w:t>
      </w:r>
      <w:r>
        <w:rPr>
          <w:spacing w:val="23"/>
        </w:rPr>
        <w:t> </w:t>
      </w:r>
      <w:r>
        <w:rPr>
          <w:spacing w:val="-2"/>
        </w:rPr>
        <w:t>können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laut</w:t>
      </w:r>
      <w:r>
        <w:rPr>
          <w:spacing w:val="3"/>
        </w:rPr>
        <w:t> </w:t>
      </w:r>
      <w:r>
        <w:rPr>
          <w:spacing w:val="-1"/>
        </w:rPr>
        <w:t>Bundesrat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>
          <w:spacing w:val="-1"/>
        </w:rPr>
        <w:t>durchschnittlich</w:t>
      </w:r>
      <w:r>
        <w:rPr>
          <w:spacing w:val="49"/>
        </w:rPr>
        <w:t> </w:t>
      </w:r>
      <w:r>
        <w:rPr/>
        <w:t>80%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>
          <w:spacing w:val="-1"/>
        </w:rPr>
        <w:t>Energieverluste</w:t>
      </w:r>
      <w:r>
        <w:rPr>
          <w:spacing w:val="-10"/>
        </w:rPr>
        <w:t> </w:t>
      </w:r>
      <w:r>
        <w:rPr/>
        <w:t>im</w:t>
      </w:r>
      <w:r>
        <w:rPr>
          <w:spacing w:val="-10"/>
        </w:rPr>
        <w:t> </w:t>
      </w:r>
      <w:r>
        <w:rPr/>
        <w:t>Gebäudesektor</w:t>
      </w:r>
      <w:r>
        <w:rPr>
          <w:spacing w:val="24"/>
        </w:rPr>
        <w:t> </w:t>
      </w:r>
      <w:r>
        <w:rPr>
          <w:spacing w:val="-1"/>
        </w:rPr>
        <w:t>reduziert</w:t>
      </w:r>
      <w:r>
        <w:rPr/>
        <w:t> </w:t>
      </w:r>
      <w:r>
        <w:rPr>
          <w:spacing w:val="-1"/>
        </w:rPr>
        <w:t>werden.</w:t>
      </w:r>
    </w:p>
    <w:p>
      <w:pPr>
        <w:pStyle w:val="BodyText"/>
        <w:spacing w:line="230" w:lineRule="exact"/>
        <w:ind w:right="0" w:firstLine="226"/>
        <w:jc w:val="both"/>
      </w:pPr>
      <w:r>
        <w:rPr/>
        <w:t>Dem</w:t>
      </w:r>
      <w:r>
        <w:rPr>
          <w:spacing w:val="37"/>
        </w:rPr>
        <w:t> </w:t>
      </w:r>
      <w:r>
        <w:rPr>
          <w:spacing w:val="-2"/>
        </w:rPr>
        <w:t>Förderverein</w:t>
      </w:r>
      <w:r>
        <w:rPr>
          <w:spacing w:val="38"/>
        </w:rPr>
        <w:t> </w:t>
      </w:r>
      <w:r>
        <w:rPr/>
        <w:t>ist</w:t>
      </w:r>
      <w:r>
        <w:rPr>
          <w:spacing w:val="37"/>
        </w:rPr>
        <w:t> </w:t>
      </w:r>
      <w:r>
        <w:rPr/>
        <w:t>es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den</w:t>
      </w:r>
      <w:r>
        <w:rPr>
          <w:spacing w:val="37"/>
        </w:rPr>
        <w:t> </w:t>
      </w:r>
      <w:r>
        <w:rPr/>
        <w:t>ersten</w:t>
      </w:r>
      <w:r>
        <w:rPr>
          <w:spacing w:val="24"/>
        </w:rPr>
        <w:t> </w:t>
      </w:r>
      <w:r>
        <w:rPr/>
        <w:t>fünf</w:t>
      </w:r>
      <w:r>
        <w:rPr>
          <w:spacing w:val="-15"/>
        </w:rPr>
        <w:t> </w:t>
      </w:r>
      <w:r>
        <w:rPr>
          <w:spacing w:val="-1"/>
        </w:rPr>
        <w:t>Jahren</w:t>
      </w:r>
      <w:r>
        <w:rPr>
          <w:spacing w:val="-15"/>
        </w:rPr>
        <w:t> </w:t>
      </w:r>
      <w:r>
        <w:rPr/>
        <w:t>gelungen,</w:t>
      </w:r>
      <w:r>
        <w:rPr>
          <w:spacing w:val="-26"/>
        </w:rPr>
        <w:t> </w:t>
      </w:r>
      <w:r>
        <w:rPr/>
        <w:t>die</w:t>
      </w:r>
      <w:r>
        <w:rPr>
          <w:spacing w:val="-15"/>
        </w:rPr>
        <w:t> </w:t>
      </w:r>
      <w:r>
        <w:rPr/>
        <w:t>ganze</w:t>
      </w:r>
      <w:r>
        <w:rPr>
          <w:spacing w:val="-29"/>
        </w:rPr>
        <w:t> </w:t>
      </w:r>
      <w:r>
        <w:rPr>
          <w:spacing w:val="-1"/>
        </w:rPr>
        <w:t>Talschaft</w:t>
      </w:r>
      <w:r>
        <w:rPr>
          <w:spacing w:val="-15"/>
        </w:rPr>
        <w:t> </w:t>
      </w:r>
      <w:r>
        <w:rPr/>
        <w:t>für</w:t>
      </w:r>
      <w:r>
        <w:rPr>
          <w:spacing w:val="21"/>
        </w:rPr>
        <w:t> </w:t>
      </w:r>
      <w:r>
        <w:rPr/>
        <w:t>das</w:t>
      </w:r>
      <w:r>
        <w:rPr>
          <w:spacing w:val="12"/>
        </w:rPr>
        <w:t> </w:t>
      </w:r>
      <w:r>
        <w:rPr>
          <w:spacing w:val="-1"/>
        </w:rPr>
        <w:t>Projekt</w:t>
      </w:r>
      <w:r>
        <w:rPr>
          <w:spacing w:val="12"/>
        </w:rPr>
        <w:t> </w:t>
      </w:r>
      <w:r>
        <w:rPr/>
        <w:t>zu</w:t>
      </w:r>
      <w:r>
        <w:rPr>
          <w:spacing w:val="12"/>
        </w:rPr>
        <w:t> </w:t>
      </w:r>
      <w:r>
        <w:rPr/>
        <w:t>begeistern</w:t>
      </w:r>
      <w:r>
        <w:rPr>
          <w:spacing w:val="12"/>
        </w:rPr>
        <w:t> </w:t>
      </w:r>
      <w:r>
        <w:rPr/>
        <w:t>und</w:t>
      </w:r>
      <w:r>
        <w:rPr>
          <w:spacing w:val="12"/>
        </w:rPr>
        <w:t> </w:t>
      </w:r>
      <w:r>
        <w:rPr/>
        <w:t>über</w:t>
      </w:r>
      <w:r>
        <w:rPr>
          <w:spacing w:val="12"/>
        </w:rPr>
        <w:t> </w:t>
      </w:r>
      <w:r>
        <w:rPr/>
        <w:t>die</w:t>
      </w:r>
      <w:r>
        <w:rPr>
          <w:spacing w:val="21"/>
        </w:rPr>
        <w:t> </w:t>
      </w:r>
      <w:r>
        <w:rPr>
          <w:spacing w:val="-1"/>
        </w:rPr>
        <w:t>Grenzen </w:t>
      </w:r>
      <w:r>
        <w:rPr/>
        <w:t>hinaus</w:t>
      </w:r>
      <w:r>
        <w:rPr>
          <w:spacing w:val="-1"/>
        </w:rPr>
        <w:t> </w:t>
      </w:r>
      <w:r>
        <w:rPr>
          <w:spacing w:val="-2"/>
        </w:rPr>
        <w:t>grosse</w:t>
      </w:r>
      <w:r>
        <w:rPr>
          <w:spacing w:val="-1"/>
        </w:rPr>
        <w:t> Wirkung </w:t>
      </w:r>
      <w:r>
        <w:rPr/>
        <w:t>zu</w:t>
      </w:r>
      <w:r>
        <w:rPr>
          <w:spacing w:val="-1"/>
        </w:rPr>
        <w:t> </w:t>
      </w:r>
      <w:r>
        <w:rPr/>
        <w:t>erzielen.</w:t>
      </w:r>
      <w:r>
        <w:rPr>
          <w:spacing w:val="25"/>
        </w:rPr>
        <w:t> </w:t>
      </w:r>
      <w:r>
        <w:rPr>
          <w:spacing w:val="-1"/>
        </w:rPr>
        <w:t>Aufgrund</w:t>
      </w:r>
      <w:r>
        <w:rPr>
          <w:spacing w:val="9"/>
        </w:rPr>
        <w:t> </w:t>
      </w:r>
      <w:r>
        <w:rPr>
          <w:spacing w:val="-1"/>
        </w:rPr>
        <w:t>seines</w:t>
      </w:r>
      <w:r>
        <w:rPr>
          <w:spacing w:val="9"/>
        </w:rPr>
        <w:t> </w:t>
      </w:r>
      <w:r>
        <w:rPr>
          <w:spacing w:val="-1"/>
        </w:rPr>
        <w:t>nachahmenswerten</w:t>
      </w:r>
      <w:r>
        <w:rPr>
          <w:spacing w:val="9"/>
        </w:rPr>
        <w:t> </w:t>
      </w:r>
      <w:r>
        <w:rPr/>
        <w:t>Enga-</w:t>
      </w:r>
      <w:r>
        <w:rPr>
          <w:spacing w:val="49"/>
        </w:rPr>
        <w:t> </w:t>
      </w:r>
      <w:r>
        <w:rPr/>
        <w:t>gements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eindrücklichen</w:t>
      </w:r>
      <w:r>
        <w:rPr>
          <w:spacing w:val="-11"/>
        </w:rPr>
        <w:t> </w:t>
      </w:r>
      <w:r>
        <w:rPr/>
        <w:t>Erfolges</w:t>
      </w:r>
      <w:r>
        <w:rPr>
          <w:spacing w:val="-11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kurzer</w:t>
      </w:r>
      <w:r>
        <w:rPr>
          <w:spacing w:val="-7"/>
        </w:rPr>
        <w:t> </w:t>
      </w:r>
      <w:r>
        <w:rPr>
          <w:spacing w:val="-1"/>
        </w:rPr>
        <w:t>Zeit</w:t>
      </w:r>
      <w:r>
        <w:rPr>
          <w:spacing w:val="-7"/>
        </w:rPr>
        <w:t> </w:t>
      </w:r>
      <w:r>
        <w:rPr>
          <w:spacing w:val="-2"/>
        </w:rPr>
        <w:t>wird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>
          <w:spacing w:val="-2"/>
        </w:rPr>
        <w:t>Förderverein</w:t>
      </w:r>
      <w:r>
        <w:rPr>
          <w:spacing w:val="-7"/>
        </w:rPr>
        <w:t> </w:t>
      </w:r>
      <w:r>
        <w:rPr>
          <w:spacing w:val="-1"/>
        </w:rPr>
        <w:t>„energietal</w:t>
      </w:r>
      <w:r>
        <w:rPr>
          <w:spacing w:val="47"/>
        </w:rPr>
        <w:t> </w:t>
      </w:r>
      <w:r>
        <w:rPr>
          <w:spacing w:val="-1"/>
        </w:rPr>
        <w:t>toggenburg“</w:t>
      </w:r>
      <w:r>
        <w:rPr>
          <w:spacing w:val="1"/>
        </w:rPr>
        <w:t> </w:t>
      </w:r>
      <w:r>
        <w:rPr/>
        <w:t>mit</w:t>
      </w:r>
      <w:r>
        <w:rPr>
          <w:spacing w:val="15"/>
        </w:rPr>
        <w:t> </w:t>
      </w:r>
      <w:r>
        <w:rPr/>
        <w:t>dem</w:t>
      </w:r>
      <w:r>
        <w:rPr>
          <w:spacing w:val="15"/>
        </w:rPr>
        <w:t> </w:t>
      </w:r>
      <w:r>
        <w:rPr>
          <w:spacing w:val="-1"/>
        </w:rPr>
        <w:t>Schweizer</w:t>
      </w:r>
      <w:r>
        <w:rPr>
          <w:spacing w:val="15"/>
        </w:rPr>
        <w:t> </w:t>
      </w:r>
      <w:r>
        <w:rPr>
          <w:spacing w:val="-1"/>
        </w:rPr>
        <w:t>Solarpreis</w:t>
      </w:r>
      <w:r>
        <w:rPr>
          <w:spacing w:val="30"/>
        </w:rPr>
        <w:t> </w:t>
      </w:r>
      <w:r>
        <w:rPr/>
        <w:t>2014 ausgezeichnet.</w:t>
      </w:r>
    </w:p>
    <w:p>
      <w:pPr>
        <w:spacing w:line="230" w:lineRule="exact" w:before="53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vision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long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terme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d’«energietal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toggen-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burg»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l’autosuffisance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énergétique.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rendre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Toggenbourg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indépendant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coûteuses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importations,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efforts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impor-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tants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sont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nécessaires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dans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tous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domai-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nes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l’efficacité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production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énergé-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tiques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moyen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ressources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locales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renouvelables.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1" w:lineRule="auto" w:before="15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Toggenbourg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n’en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manque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pas,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l’association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«energietal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toggenburg»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veut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utiliser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avenir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durable.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socié-</w:t>
      </w:r>
      <w:r>
        <w:rPr>
          <w:rFonts w:ascii="Theinhardt Regular Italic" w:hAnsi="Theinhardt Regular Italic" w:cs="Theinhardt Regular Italic" w:eastAsia="Theinhardt Regular Italic"/>
          <w:i/>
          <w:spacing w:val="37"/>
          <w:w w:val="9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té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financement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vu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jour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participer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aux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installations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photovoltaïques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d’autres</w:t>
      </w:r>
      <w:r>
        <w:rPr>
          <w:rFonts w:ascii="Theinhardt Regular Italic" w:hAnsi="Theinhardt Regular Italic" w:cs="Theinhardt Regular Italic" w:eastAsia="Theinhardt Regular Italic"/>
          <w:i/>
          <w:spacing w:val="5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projets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production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d’énergie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durable.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Autre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pierre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angulaire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l’association: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l’académie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l’énergie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centre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con-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seil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énergie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qu’elle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créés.</w:t>
      </w:r>
      <w:r>
        <w:rPr>
          <w:rFonts w:ascii="Theinhardt Regular Italic" w:hAnsi="Theinhardt Regular Italic" w:cs="Theinhardt Regular Italic" w:eastAsia="Theinhardt Regular Italic"/>
          <w:i/>
          <w:spacing w:val="-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Depuis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sa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fon-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dation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2009,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«energietal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toggenburg»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soutenu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construction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256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installa-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tions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259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thermiques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biais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d’événements,</w:t>
      </w:r>
      <w:r>
        <w:rPr>
          <w:rFonts w:ascii="Theinhardt Regular Italic" w:hAnsi="Theinhardt Regular Italic" w:cs="Theinhardt Regular Italic" w:eastAsia="Theinhardt Regular Italic"/>
          <w:i/>
          <w:spacing w:val="-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publications,</w:t>
      </w:r>
      <w:r>
        <w:rPr>
          <w:rFonts w:ascii="Theinhardt Regular Italic" w:hAnsi="Theinhardt Regular Italic" w:cs="Theinhardt Regular Italic" w:eastAsia="Theinhardt Regular Italic"/>
          <w:i/>
          <w:spacing w:val="-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stages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forma-</w:t>
      </w:r>
      <w:r>
        <w:rPr>
          <w:rFonts w:ascii="Theinhardt Regular Italic" w:hAnsi="Theinhardt Regular Italic" w:cs="Theinhardt Regular Italic" w:eastAsia="Theinhardt Regular Italic"/>
          <w:i/>
          <w:spacing w:val="5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tion,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lettres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d’information,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stands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conseils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énergie.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Afin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mettre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œuvre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ob-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jectifs</w:t>
      </w:r>
      <w:r>
        <w:rPr>
          <w:rFonts w:ascii="Theinhardt Regular Italic" w:hAnsi="Theinhardt Regular Italic" w:cs="Theinhardt Regular Italic" w:eastAsia="Theinhardt Regular Italic"/>
          <w:i/>
          <w:spacing w:val="-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delasociétéà</w:t>
      </w:r>
      <w:r>
        <w:rPr>
          <w:rFonts w:ascii="Theinhardt Regular Italic" w:hAnsi="Theinhardt Regular Italic" w:cs="Theinhardt Regular Italic" w:eastAsia="Theinhardt Regular Italic"/>
          <w:i/>
          <w:spacing w:val="-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2000</w:t>
      </w:r>
      <w:r>
        <w:rPr>
          <w:rFonts w:ascii="Theinhardt Regular Italic" w:hAnsi="Theinhardt Regular Italic" w:cs="Theinhardt Regular Italic" w:eastAsia="Theinhardt Regular Italic"/>
          <w:i/>
          <w:spacing w:val="-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watts,</w:t>
      </w:r>
      <w:r>
        <w:rPr>
          <w:rFonts w:ascii="Theinhardt Regular Italic" w:hAnsi="Theinhardt Regular Italic" w:cs="Theinhardt Regular Italic" w:eastAsia="Theinhardt Regular Italic"/>
          <w:i/>
          <w:spacing w:val="-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l’association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devra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s’engager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encore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plus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fortement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l’efficacité,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particulier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dans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construc-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tion,</w:t>
      </w:r>
      <w:r>
        <w:rPr>
          <w:rFonts w:ascii="Theinhardt Regular Italic" w:hAnsi="Theinhardt Regular Italic" w:cs="Theinhardt Regular Italic" w:eastAsia="Theinhardt Regular Italic"/>
          <w:i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où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pertes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énergétiques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sont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80%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moyenne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selon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Conseil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fédéral.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L’association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réussi,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cours</w:t>
      </w:r>
      <w:r>
        <w:rPr>
          <w:rFonts w:ascii="Theinhardt Regular Italic" w:hAnsi="Theinhardt Regular Italic" w:cs="Theinhardt Regular Italic" w:eastAsia="Theinhardt Regular Italic"/>
          <w:i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ses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cinq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premières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années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d’existence,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regrou-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per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toute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vallée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autour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projet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impact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majeur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au-delà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ses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frontières.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Prix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Suisse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2014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récompense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l’engagement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modèle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succès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impres-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sionnant,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si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peu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temps,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d’«energietal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toggenburg».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before="87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tabs>
          <w:tab w:pos="2133" w:val="left" w:leader="none"/>
        </w:tabs>
        <w:spacing w:line="172" w:lineRule="exact" w:before="66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w w:val="95"/>
          <w:sz w:val="14"/>
        </w:rPr>
        <w:t>Vision:</w:t>
        <w:tab/>
      </w:r>
      <w:r>
        <w:rPr>
          <w:rFonts w:ascii="Theinhardt Regular"/>
          <w:sz w:val="14"/>
        </w:rPr>
        <w:t>1 </w:t>
      </w:r>
      <w:r>
        <w:rPr>
          <w:rFonts w:ascii="Theinhardt Regular"/>
          <w:spacing w:val="-2"/>
          <w:sz w:val="14"/>
        </w:rPr>
        <w:t>Person</w:t>
      </w:r>
    </w:p>
    <w:p>
      <w:pPr>
        <w:tabs>
          <w:tab w:pos="2123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1"/>
          <w:sz w:val="14"/>
        </w:rPr>
        <w:t>Vorstand:</w:t>
        <w:tab/>
      </w:r>
      <w:r>
        <w:rPr>
          <w:rFonts w:ascii="Theinhardt Regular"/>
          <w:sz w:val="14"/>
        </w:rPr>
        <w:t>8 </w:t>
      </w:r>
      <w:r>
        <w:rPr>
          <w:rFonts w:ascii="Theinhardt Regular"/>
          <w:spacing w:val="-1"/>
          <w:sz w:val="14"/>
        </w:rPr>
        <w:t>Personen</w:t>
      </w:r>
    </w:p>
    <w:p>
      <w:pPr>
        <w:tabs>
          <w:tab w:pos="2123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w w:val="95"/>
          <w:sz w:val="14"/>
        </w:rPr>
        <w:t>Mitarbeiter:</w:t>
        <w:tab/>
      </w:r>
      <w:r>
        <w:rPr>
          <w:rFonts w:ascii="Theinhardt Regular"/>
          <w:sz w:val="14"/>
        </w:rPr>
        <w:t>5 </w:t>
      </w:r>
      <w:r>
        <w:rPr>
          <w:rFonts w:ascii="Theinhardt Regular"/>
          <w:spacing w:val="-1"/>
          <w:sz w:val="14"/>
        </w:rPr>
        <w:t>Personen</w:t>
      </w:r>
    </w:p>
    <w:p>
      <w:pPr>
        <w:tabs>
          <w:tab w:pos="1951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/>
          <w:w w:val="95"/>
          <w:sz w:val="14"/>
        </w:rPr>
        <w:t>Gemeinden:</w:t>
        <w:tab/>
      </w:r>
      <w:r>
        <w:rPr>
          <w:rFonts w:ascii="Theinhardt Bold"/>
          <w:b/>
          <w:sz w:val="14"/>
        </w:rPr>
        <w:t>12 Energiebotschafter</w:t>
      </w:r>
      <w:r>
        <w:rPr>
          <w:rFonts w:ascii="Theinhardt Bold"/>
          <w:sz w:val="14"/>
        </w:rPr>
      </w:r>
    </w:p>
    <w:p>
      <w:pPr>
        <w:tabs>
          <w:tab w:pos="2041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1"/>
          <w:w w:val="95"/>
          <w:sz w:val="14"/>
        </w:rPr>
        <w:t>Teilprojektmitarbeiter:</w:t>
        <w:tab/>
      </w:r>
      <w:r>
        <w:rPr>
          <w:rFonts w:ascii="Theinhardt Regular"/>
          <w:sz w:val="14"/>
        </w:rPr>
        <w:t>21 </w:t>
      </w:r>
      <w:r>
        <w:rPr>
          <w:rFonts w:ascii="Theinhardt Regular"/>
          <w:spacing w:val="-1"/>
          <w:sz w:val="14"/>
        </w:rPr>
        <w:t>Personen</w:t>
      </w:r>
    </w:p>
    <w:p>
      <w:pPr>
        <w:tabs>
          <w:tab w:pos="1958" w:val="left" w:leader="none"/>
        </w:tabs>
        <w:spacing w:line="207" w:lineRule="auto" w:before="6"/>
        <w:ind w:left="107" w:right="766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z w:val="14"/>
          <w:szCs w:val="14"/>
        </w:rPr>
        <w:t>Mitglieder:</w:t>
        <w:tab/>
        <w:t>590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Personen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Bevölkerung</w:t>
      </w:r>
      <w:r>
        <w:rPr>
          <w:rFonts w:ascii="Theinhardt Regular" w:hAnsi="Theinhardt Regular" w:cs="Theinhardt Regular" w:eastAsia="Theinhardt Regular"/>
          <w:spacing w:val="-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Toggenburg: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44’826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Personen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Massnahmen:</w:t>
      </w:r>
      <w:r>
        <w:rPr>
          <w:rFonts w:ascii="Theinhardt Bold"/>
          <w:sz w:val="14"/>
        </w:rPr>
      </w:r>
    </w:p>
    <w:p>
      <w:pPr>
        <w:spacing w:line="160" w:lineRule="exact" w:before="39"/>
        <w:ind w:left="107" w:right="18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 Italic"/>
          <w:b/>
          <w:i/>
          <w:spacing w:val="2"/>
          <w:sz w:val="14"/>
        </w:rPr>
        <w:t>Energieberatungen:</w:t>
      </w:r>
      <w:r>
        <w:rPr>
          <w:rFonts w:ascii="Theinhardt Bold Italic"/>
          <w:b/>
          <w:i/>
          <w:spacing w:val="-1"/>
          <w:sz w:val="14"/>
        </w:rPr>
        <w:t> </w:t>
      </w:r>
      <w:r>
        <w:rPr>
          <w:rFonts w:ascii="Theinhardt Regular"/>
          <w:spacing w:val="-1"/>
          <w:sz w:val="14"/>
        </w:rPr>
        <w:t>Von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Gratis-Erstberatung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bis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1"/>
          <w:sz w:val="14"/>
        </w:rPr>
        <w:t>zum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Coaching.</w:t>
      </w:r>
    </w:p>
    <w:p>
      <w:pPr>
        <w:spacing w:line="160" w:lineRule="exact" w:before="56"/>
        <w:ind w:left="107" w:right="18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 Italic"/>
          <w:b/>
          <w:i/>
          <w:spacing w:val="2"/>
          <w:sz w:val="14"/>
        </w:rPr>
        <w:t>Energieakademie:</w:t>
      </w:r>
      <w:r>
        <w:rPr>
          <w:rFonts w:ascii="Theinhardt Bold Italic"/>
          <w:b/>
          <w:i/>
          <w:spacing w:val="-1"/>
          <w:sz w:val="14"/>
        </w:rPr>
        <w:t> </w:t>
      </w:r>
      <w:r>
        <w:rPr>
          <w:rFonts w:ascii="Theinhardt Regular"/>
          <w:spacing w:val="1"/>
          <w:sz w:val="14"/>
        </w:rPr>
        <w:t>Veranstaltungen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und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Ausbildun-</w:t>
      </w:r>
      <w:r>
        <w:rPr>
          <w:rFonts w:ascii="Theinhardt Regular"/>
          <w:spacing w:val="38"/>
          <w:sz w:val="14"/>
        </w:rPr>
        <w:t> </w:t>
      </w:r>
      <w:r>
        <w:rPr>
          <w:rFonts w:ascii="Theinhardt Regular"/>
          <w:spacing w:val="1"/>
          <w:sz w:val="14"/>
        </w:rPr>
        <w:t>gen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zum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Energiemanager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und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Solarteur.</w:t>
      </w:r>
    </w:p>
    <w:p>
      <w:pPr>
        <w:spacing w:line="160" w:lineRule="exact" w:before="56"/>
        <w:ind w:left="107" w:right="18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 Italic"/>
          <w:b/>
          <w:i/>
          <w:spacing w:val="2"/>
          <w:sz w:val="14"/>
        </w:rPr>
        <w:t>Monatliche</w:t>
      </w:r>
      <w:r>
        <w:rPr>
          <w:rFonts w:ascii="Theinhardt Bold Italic"/>
          <w:b/>
          <w:i/>
          <w:sz w:val="14"/>
        </w:rPr>
        <w:t> </w:t>
      </w:r>
      <w:r>
        <w:rPr>
          <w:rFonts w:ascii="Theinhardt Bold Italic"/>
          <w:b/>
          <w:i/>
          <w:spacing w:val="2"/>
          <w:sz w:val="14"/>
        </w:rPr>
        <w:t>Sonderseite</w:t>
      </w:r>
      <w:r>
        <w:rPr>
          <w:rFonts w:ascii="Theinhardt Bold Italic"/>
          <w:b/>
          <w:i/>
          <w:spacing w:val="-1"/>
          <w:sz w:val="14"/>
        </w:rPr>
        <w:t> </w:t>
      </w:r>
      <w:r>
        <w:rPr>
          <w:rFonts w:ascii="Theinhardt Regular"/>
          <w:spacing w:val="1"/>
          <w:sz w:val="14"/>
        </w:rPr>
        <w:t>zu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Energiethemen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des</w:t>
      </w:r>
      <w:r>
        <w:rPr>
          <w:rFonts w:ascii="Theinhardt Regular"/>
          <w:spacing w:val="24"/>
          <w:sz w:val="14"/>
        </w:rPr>
        <w:t> </w:t>
      </w:r>
      <w:r>
        <w:rPr>
          <w:rFonts w:ascii="Theinhardt Regular"/>
          <w:sz w:val="14"/>
        </w:rPr>
        <w:t>Vereins im Toggenburger </w:t>
      </w:r>
      <w:r>
        <w:rPr>
          <w:rFonts w:ascii="Theinhardt Regular"/>
          <w:spacing w:val="1"/>
          <w:sz w:val="14"/>
        </w:rPr>
        <w:t>Tagblatt.</w:t>
      </w:r>
    </w:p>
    <w:p>
      <w:pPr>
        <w:spacing w:line="160" w:lineRule="exact" w:before="56"/>
        <w:ind w:left="107" w:right="18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 Italic" w:hAnsi="Theinhardt Bold Italic"/>
          <w:b/>
          <w:i/>
          <w:spacing w:val="1"/>
          <w:sz w:val="14"/>
        </w:rPr>
        <w:t>StromSparTour:</w:t>
      </w:r>
      <w:r>
        <w:rPr>
          <w:rFonts w:ascii="Theinhardt Bold Italic" w:hAnsi="Theinhardt Bold Italic"/>
          <w:b/>
          <w:i/>
          <w:spacing w:val="-1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Austausch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von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unwirtschaftlichen</w:t>
      </w:r>
      <w:r>
        <w:rPr>
          <w:rFonts w:ascii="Theinhardt Regular" w:hAnsi="Theinhardt Regular"/>
          <w:spacing w:val="24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Haustechnikanlagen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durch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stromsparende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Geräte.</w:t>
      </w:r>
    </w:p>
    <w:p>
      <w:pPr>
        <w:spacing w:line="160" w:lineRule="exact" w:before="56"/>
        <w:ind w:left="107" w:right="5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 Italic"/>
          <w:b/>
          <w:i/>
          <w:spacing w:val="2"/>
          <w:sz w:val="14"/>
        </w:rPr>
        <w:t>Oberstufenschule:</w:t>
      </w:r>
      <w:r>
        <w:rPr>
          <w:rFonts w:ascii="Theinhardt Bold Italic"/>
          <w:b/>
          <w:i/>
          <w:spacing w:val="-4"/>
          <w:sz w:val="14"/>
        </w:rPr>
        <w:t> </w:t>
      </w:r>
      <w:r>
        <w:rPr>
          <w:rFonts w:ascii="Theinhardt Regular"/>
          <w:spacing w:val="2"/>
          <w:sz w:val="14"/>
        </w:rPr>
        <w:t>Jugendsolarwoche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mit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Green-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peace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inkl.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Bau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einer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Solaranlage.</w:t>
      </w:r>
    </w:p>
    <w:p>
      <w:pPr>
        <w:spacing w:line="160" w:lineRule="exact" w:before="56"/>
        <w:ind w:left="107" w:right="18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 Italic" w:hAnsi="Theinhardt Bold Italic" w:cs="Theinhardt Bold Italic" w:eastAsia="Theinhardt Bold Italic"/>
          <w:b/>
          <w:bCs/>
          <w:i/>
          <w:spacing w:val="2"/>
          <w:sz w:val="14"/>
          <w:szCs w:val="14"/>
        </w:rPr>
        <w:t>„Heisswasser</w:t>
      </w:r>
      <w:r>
        <w:rPr>
          <w:rFonts w:ascii="Theinhardt Bold Italic" w:hAnsi="Theinhardt Bold Italic" w:cs="Theinhardt Bold Italic" w:eastAsia="Theinhardt Bold Italic"/>
          <w:b/>
          <w:bCs/>
          <w:i/>
          <w:sz w:val="14"/>
          <w:szCs w:val="14"/>
        </w:rPr>
        <w:t> </w:t>
      </w:r>
      <w:r>
        <w:rPr>
          <w:rFonts w:ascii="Theinhardt Bold Italic" w:hAnsi="Theinhardt Bold Italic" w:cs="Theinhardt Bold Italic" w:eastAsia="Theinhardt Bold Italic"/>
          <w:b/>
          <w:bCs/>
          <w:i/>
          <w:spacing w:val="1"/>
          <w:sz w:val="14"/>
          <w:szCs w:val="14"/>
        </w:rPr>
        <w:t>vom</w:t>
      </w:r>
      <w:r>
        <w:rPr>
          <w:rFonts w:ascii="Theinhardt Bold Italic" w:hAnsi="Theinhardt Bold Italic" w:cs="Theinhardt Bold Italic" w:eastAsia="Theinhardt Bold Italic"/>
          <w:b/>
          <w:bCs/>
          <w:i/>
          <w:sz w:val="14"/>
          <w:szCs w:val="14"/>
        </w:rPr>
        <w:t> </w:t>
      </w:r>
      <w:r>
        <w:rPr>
          <w:rFonts w:ascii="Theinhardt Bold Italic" w:hAnsi="Theinhardt Bold Italic" w:cs="Theinhardt Bold Italic" w:eastAsia="Theinhardt Bold Italic"/>
          <w:b/>
          <w:bCs/>
          <w:i/>
          <w:spacing w:val="2"/>
          <w:sz w:val="14"/>
          <w:szCs w:val="14"/>
        </w:rPr>
        <w:t>Dach“:</w:t>
      </w:r>
      <w:r>
        <w:rPr>
          <w:rFonts w:ascii="Theinhardt Bold Italic" w:hAnsi="Theinhardt Bold Italic" w:cs="Theinhardt Bold Italic" w:eastAsia="Theinhardt Bold Italic"/>
          <w:b/>
          <w:bCs/>
          <w:i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180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thermische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Anlagen</w:t>
      </w:r>
      <w:r>
        <w:rPr>
          <w:rFonts w:ascii="Theinhardt Regular" w:hAnsi="Theinhardt Regular" w:cs="Theinhardt Regular" w:eastAsia="Theinhardt Regular"/>
          <w:spacing w:val="5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in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18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Monaten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installiert.</w:t>
      </w:r>
    </w:p>
    <w:p>
      <w:pPr>
        <w:spacing w:line="281" w:lineRule="auto" w:before="49"/>
        <w:ind w:left="107" w:right="72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Thermische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Anlagen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insgesamt: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408</w:t>
      </w:r>
      <w:r>
        <w:rPr>
          <w:rFonts w:ascii="Theinhardt Bold"/>
          <w:b/>
          <w:spacing w:val="28"/>
          <w:sz w:val="14"/>
        </w:rPr>
        <w:t> </w:t>
      </w:r>
      <w:r>
        <w:rPr>
          <w:rFonts w:ascii="Theinhardt Bold"/>
          <w:b/>
          <w:spacing w:val="1"/>
          <w:sz w:val="14"/>
        </w:rPr>
        <w:t>Einige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305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PV-Anlagen:</w:t>
      </w:r>
      <w:r>
        <w:rPr>
          <w:rFonts w:ascii="Theinhardt Bold"/>
          <w:sz w:val="14"/>
        </w:rPr>
      </w:r>
    </w:p>
    <w:p>
      <w:pPr>
        <w:tabs>
          <w:tab w:pos="2390" w:val="left" w:leader="none"/>
          <w:tab w:pos="2950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Gemessene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Werte</w:t>
        <w:tab/>
      </w:r>
      <w:r>
        <w:rPr>
          <w:rFonts w:ascii="Theinhardt Bold"/>
          <w:b/>
          <w:w w:val="95"/>
          <w:sz w:val="14"/>
        </w:rPr>
        <w:t>kWp</w:t>
        <w:tab/>
      </w:r>
      <w:r>
        <w:rPr>
          <w:rFonts w:ascii="Theinhardt Bold"/>
          <w:b/>
          <w:sz w:val="14"/>
        </w:rPr>
        <w:t>kWh/a</w:t>
      </w:r>
      <w:r>
        <w:rPr>
          <w:rFonts w:ascii="Theinhardt Bold"/>
          <w:sz w:val="14"/>
        </w:rPr>
      </w:r>
    </w:p>
    <w:p>
      <w:pPr>
        <w:tabs>
          <w:tab w:pos="2336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Högg,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Wattwil: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1’212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1’223’895</w:t>
      </w:r>
    </w:p>
    <w:p>
      <w:pPr>
        <w:tabs>
          <w:tab w:pos="2438" w:val="left" w:leader="none"/>
          <w:tab w:pos="2914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Kieswerk,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Sägenbach: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244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241’561</w:t>
      </w:r>
    </w:p>
    <w:p>
      <w:pPr>
        <w:tabs>
          <w:tab w:pos="2442" w:val="left" w:leader="none"/>
          <w:tab w:pos="2908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Grüenau,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Wattwil:</w:t>
        <w:tab/>
      </w:r>
      <w:r>
        <w:rPr>
          <w:rFonts w:ascii="Theinhardt Regular" w:hAnsi="Theinhardt Regular" w:cs="Theinhardt Regular" w:eastAsia="Theinhardt Regular"/>
          <w:spacing w:val="-2"/>
          <w:w w:val="95"/>
          <w:sz w:val="14"/>
          <w:szCs w:val="14"/>
        </w:rPr>
        <w:t>164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184’185</w:t>
      </w:r>
    </w:p>
    <w:p>
      <w:pPr>
        <w:tabs>
          <w:tab w:pos="2519" w:val="left" w:leader="none"/>
          <w:tab w:pos="2973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Schulhaus</w:t>
      </w:r>
      <w:r>
        <w:rPr>
          <w:rFonts w:ascii="Theinhardt Regular" w:hAnsi="Theinhardt Regular" w:cs="Theinhardt Regular" w:eastAsia="Theinhardt Regular"/>
          <w:sz w:val="14"/>
          <w:szCs w:val="14"/>
        </w:rPr>
        <w:t> Gill,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Ebnat-Kappel: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64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59’786</w:t>
      </w:r>
    </w:p>
    <w:p>
      <w:pPr>
        <w:tabs>
          <w:tab w:pos="2522" w:val="left" w:leader="none"/>
          <w:tab w:pos="2987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Schulhaus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Risi,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Wattwil: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22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25’184</w:t>
      </w:r>
    </w:p>
    <w:p>
      <w:pPr>
        <w:tabs>
          <w:tab w:pos="2531" w:val="left" w:leader="none"/>
          <w:tab w:pos="2983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Schulhaus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Lerchenfeld:</w:t>
        <w:tab/>
      </w:r>
      <w:r>
        <w:rPr>
          <w:rFonts w:ascii="Theinhardt Regular" w:hAnsi="Theinhardt Regular" w:cs="Theinhardt Regular" w:eastAsia="Theinhardt Regular"/>
          <w:spacing w:val="-5"/>
          <w:w w:val="95"/>
          <w:sz w:val="14"/>
          <w:szCs w:val="14"/>
        </w:rPr>
        <w:t>17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21’698</w:t>
      </w:r>
    </w:p>
    <w:p>
      <w:pPr>
        <w:tabs>
          <w:tab w:pos="2290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Total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gemessene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Werte: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1’723 </w:t>
      </w:r>
      <w:r>
        <w:rPr>
          <w:rFonts w:ascii="Theinhardt Bold" w:hAnsi="Theinhardt Bold" w:cs="Theinhardt Bold" w:eastAsia="Theinhardt Bold"/>
          <w:b/>
          <w:bCs/>
          <w:spacing w:val="1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1’756’309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tabs>
          <w:tab w:pos="2293" w:val="left" w:leader="none"/>
        </w:tabs>
        <w:spacing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Total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PV-Produktion: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2’495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3’300’309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tabs>
          <w:tab w:pos="2742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Gesamtproduktion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im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Jahr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2013:</w:t>
        <w:tab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6’200’000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71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Stromverbrauch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im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Jahr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2013: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320’000’000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before="0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5"/>
        <w:ind w:left="107" w:right="184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energietal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toggenburg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1"/>
          <w:sz w:val="14"/>
        </w:rPr>
        <w:t>Silvia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Oertli</w:t>
      </w:r>
      <w:r>
        <w:rPr>
          <w:rFonts w:ascii="Theinhardt Regular"/>
          <w:spacing w:val="31"/>
          <w:sz w:val="14"/>
        </w:rPr>
        <w:t> </w:t>
      </w:r>
      <w:r>
        <w:rPr>
          <w:rFonts w:ascii="Theinhardt Regular"/>
          <w:spacing w:val="2"/>
          <w:sz w:val="14"/>
        </w:rPr>
        <w:t>Bahnhofstrasse</w:t>
      </w:r>
      <w:r>
        <w:rPr>
          <w:rFonts w:ascii="Theinhardt Regular"/>
          <w:sz w:val="14"/>
        </w:rPr>
        <w:t> 1</w:t>
      </w:r>
    </w:p>
    <w:p>
      <w:pPr>
        <w:spacing w:line="165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9630 </w:t>
      </w:r>
      <w:r>
        <w:rPr>
          <w:rFonts w:ascii="Theinhardt Regular"/>
          <w:spacing w:val="2"/>
          <w:sz w:val="14"/>
        </w:rPr>
        <w:t>Wattwil</w:t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071</w:t>
      </w:r>
      <w:r>
        <w:rPr>
          <w:rFonts w:ascii="Theinhardt Regular"/>
          <w:sz w:val="14"/>
        </w:rPr>
        <w:t> 987 </w:t>
      </w:r>
      <w:r>
        <w:rPr>
          <w:rFonts w:ascii="Theinhardt Regular"/>
          <w:spacing w:val="2"/>
          <w:sz w:val="14"/>
        </w:rPr>
        <w:t>00</w:t>
      </w:r>
      <w:r>
        <w:rPr>
          <w:rFonts w:ascii="Theinhardt Regular"/>
          <w:sz w:val="14"/>
        </w:rPr>
        <w:t> 77</w:t>
      </w:r>
    </w:p>
    <w:p>
      <w:pPr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373001pt;width:167.25pt;height:.45pt;mso-position-horizontal-relative:page;mso-position-vertical-relative:paragraph;z-index:1096" coordorigin="7710,207" coordsize="3345,9">
            <v:group style="position:absolute;left:7732;top:212;width:3311;height:2" coordorigin="7732,212" coordsize="3311,2">
              <v:shape style="position:absolute;left:7732;top:212;width:3311;height:2" coordorigin="7732,212" coordsize="3311,0" path="m7732,212l11042,212e" filled="false" stroked="true" strokeweight=".425pt" strokecolor="#000000">
                <v:path arrowok="t"/>
                <v:stroke dashstyle="dash"/>
              </v:shape>
            </v:group>
            <v:group style="position:absolute;left:7714;top:212;width:2;height:2" coordorigin="7714,212" coordsize="2,2">
              <v:shape style="position:absolute;left:7714;top:212;width:2;height:2" coordorigin="7714,212" coordsize="0,0" path="m7714,212l7714,212e" filled="false" stroked="true" strokeweight=".425pt" strokecolor="#000000">
                <v:path arrowok="t"/>
              </v:shape>
            </v:group>
            <v:group style="position:absolute;left:11051;top:212;width:2;height:2" coordorigin="11051,212" coordsize="2,2">
              <v:shape style="position:absolute;left:11051;top:212;width:2;height:2" coordorigin="11051,212" coordsize="0,0" path="m11051,212l11051,212e" filled="false" stroked="true" strokeweight=".425pt" strokecolor="#000000">
                <v:path arrowok="t"/>
              </v:shape>
            </v:group>
            <w10:wrap type="none"/>
          </v:group>
        </w:pict>
      </w:r>
      <w:hyperlink r:id="rId5">
        <w:r>
          <w:rPr>
            <w:rFonts w:ascii="Theinhardt Regular"/>
            <w:spacing w:val="1"/>
            <w:sz w:val="14"/>
          </w:rPr>
          <w:t>silvia.oertli@energietal-toggenburg.ch</w:t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20"/>
          <w:cols w:num="3" w:equalWidth="0">
            <w:col w:w="3463" w:space="108"/>
            <w:col w:w="3453" w:space="119"/>
            <w:col w:w="358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16"/>
          <w:szCs w:val="16"/>
        </w:rPr>
      </w:pPr>
    </w:p>
    <w:p>
      <w:pPr>
        <w:spacing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24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2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02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59279" cy="48463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279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4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7253" w:val="left" w:leader="none"/>
        </w:tabs>
        <w:spacing w:line="200" w:lineRule="atLeast"/>
        <w:ind w:left="102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position w:val="1"/>
          <w:sz w:val="20"/>
        </w:rPr>
        <w:drawing>
          <wp:inline distT="0" distB="0" distL="0" distR="0">
            <wp:extent cx="4402788" cy="298094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788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1"/>
          <w:sz w:val="20"/>
        </w:rPr>
      </w:r>
      <w:r>
        <w:rPr>
          <w:rFonts w:ascii="Theinhardt Bold"/>
          <w:position w:val="1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2132096" cy="299008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96" cy="299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7253" w:val="left" w:leader="none"/>
        </w:tabs>
        <w:spacing w:before="1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7"/>
          <w:szCs w:val="17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9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8’500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</w:t>
      </w:r>
      <w:r>
        <w:rPr>
          <w:rFonts w:ascii="Theinhardt Bold" w:hAnsi="Theinhardt Bold" w:cs="Theinhardt Bold" w:eastAsia="Theinhardt Bold"/>
          <w:b/>
          <w:bCs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grosse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1’212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kWp-PV-Anlage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in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Wattwil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produziert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1’223’900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9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</w:r>
      <w:r>
        <w:rPr>
          <w:rFonts w:ascii="Theinhardt Bold" w:hAnsi="Theinhardt Bold"/>
          <w:b/>
          <w:spacing w:val="2"/>
          <w:sz w:val="14"/>
        </w:rPr>
        <w:t>Das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typische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Toggenburgerhaus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wurde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saniert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eine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10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kWp-PV-Anlage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vorbildlich</w:t>
      </w:r>
      <w:r>
        <w:rPr>
          <w:rFonts w:ascii="Theinhardt Bold" w:hAnsi="Theinhardt Bold"/>
          <w:b/>
          <w:sz w:val="14"/>
        </w:rPr>
        <w:t> in </w:t>
      </w:r>
      <w:r>
        <w:rPr>
          <w:rFonts w:ascii="Theinhardt Bold" w:hAnsi="Theinhardt Bold"/>
          <w:b/>
          <w:spacing w:val="1"/>
          <w:sz w:val="14"/>
        </w:rPr>
        <w:t>das</w:t>
      </w:r>
      <w:r>
        <w:rPr>
          <w:rFonts w:ascii="Theinhardt Bold" w:hAnsi="Theinhardt Bold"/>
          <w:b/>
          <w:spacing w:val="26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integriert.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9"/>
        <w:ind w:left="337" w:right="43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insgesamt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1’500 m</w:t>
      </w:r>
      <w:r>
        <w:rPr>
          <w:rFonts w:ascii="Theinhardt Bold" w:hAnsi="Theinhardt Bold" w:cs="Theinhardt Bold" w:eastAsia="Theinhardt Bold"/>
          <w:b/>
          <w:bCs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grossen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238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kWp-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PV-Anlagen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des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Kieswerks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in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Bütschwil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produzieren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238’000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283" w:space="288"/>
            <w:col w:w="3387" w:space="184"/>
            <w:col w:w="3568"/>
          </w:cols>
        </w:sect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25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 Italic">
    <w:altName w:val="Theinhardt Bold Italic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8"/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ilvia.oertli@energietal-toggenburg.ch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2014-09-17T14:43:18Z</dcterms:created>
  <dcterms:modified xsi:type="dcterms:W3CDTF">2014-09-17T14:43:18Z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