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07B5" w14:textId="77777777" w:rsidR="00252704" w:rsidRDefault="00C51CE7">
      <w:pPr>
        <w:tabs>
          <w:tab w:val="left" w:pos="2540"/>
        </w:tabs>
        <w:spacing w:before="28" w:line="230" w:lineRule="exact"/>
        <w:ind w:left="110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53C5B9C">
          <v:group id="_x0000_s1053" style="position:absolute;left:0;text-align:left;margin-left:42.75pt;margin-top:13.65pt;width:.1pt;height:.1pt;z-index:-4336;mso-position-horizontal-relative:page" coordorigin="855,273" coordsize="2,2">
            <v:shape id="_x0000_s1054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77932CE3">
          <v:group id="_x0000_s1051" style="position:absolute;left:0;text-align:left;margin-left:164.45pt;margin-top:13.65pt;width:.1pt;height:.1pt;z-index:1120;mso-position-horizontal-relative:page" coordorigin="3289,273" coordsize="2,2">
            <v:shape id="_x0000_s1052" style="position:absolute;left:3289;top:273;width:2;height:2" coordorigin="3289,273" coordsize="0,0" path="m3289,273r,e" filled="f" strokecolor="#231f20" strokeweight=".14994mm">
              <v:path arrowok="t"/>
            </v:shape>
            <w10:wrap anchorx="page"/>
          </v:group>
        </w:pict>
      </w:r>
      <w:r>
        <w:pict w14:anchorId="642DE9AA">
          <v:group id="_x0000_s1049" style="position:absolute;left:0;text-align:left;margin-left:42.75pt;margin-top:25.15pt;width:.1pt;height:.1pt;z-index:-4288;mso-position-horizontal-relative:page" coordorigin="855,503" coordsize="2,2">
            <v:shape id="_x0000_s1050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5069F97F">
          <v:group id="_x0000_s1047" style="position:absolute;left:0;text-align:left;margin-left:164.45pt;margin-top:25.15pt;width:.1pt;height:.1pt;z-index:1168;mso-position-horizontal-relative:page" coordorigin="3289,503" coordsize="2,2">
            <v:shape id="_x0000_s1048" style="position:absolute;left:3289;top:503;width:2;height:2" coordorigin="3289,503" coordsize="0,0" path="m3289,503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Heavy"/>
          <w:b/>
          <w:color w:val="231F20"/>
          <w:sz w:val="18"/>
          <w:u w:val="dotted" w:color="231F20"/>
        </w:rPr>
        <w:t>Kategorie</w:t>
      </w:r>
      <w:proofErr w:type="spellEnd"/>
      <w:r>
        <w:rPr>
          <w:rFonts w:ascii="Theinhardt Heavy"/>
          <w:b/>
          <w:color w:val="231F20"/>
          <w:sz w:val="18"/>
          <w:u w:val="dotted" w:color="231F20"/>
        </w:rPr>
        <w:t xml:space="preserve"> C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z w:val="18"/>
        </w:rPr>
        <w:t xml:space="preserve"> </w:t>
      </w:r>
      <w:proofErr w:type="spellStart"/>
      <w:r>
        <w:rPr>
          <w:rFonts w:ascii="Theinhardt Heavy"/>
          <w:b/>
          <w:color w:val="231F20"/>
          <w:spacing w:val="-1"/>
          <w:sz w:val="18"/>
          <w:u w:val="dotted" w:color="231F20"/>
        </w:rPr>
        <w:t>Energieanlagen</w:t>
      </w:r>
      <w:proofErr w:type="spellEnd"/>
      <w:r>
        <w:rPr>
          <w:rFonts w:asci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/>
          <w:b/>
          <w:color w:val="231F20"/>
          <w:sz w:val="18"/>
          <w:u w:val="dotted" w:color="231F20"/>
        </w:rPr>
        <w:tab/>
      </w:r>
      <w:r>
        <w:rPr>
          <w:rFonts w:ascii="Theinhardt Heavy"/>
          <w:b/>
          <w:color w:val="231F20"/>
          <w:spacing w:val="24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8"/>
        </w:rPr>
        <w:t>Solarpreis-Diplom</w:t>
      </w:r>
      <w:proofErr w:type="spellEnd"/>
      <w:r>
        <w:rPr>
          <w:rFonts w:ascii="Theinhardt Regular"/>
          <w:color w:val="231F20"/>
          <w:spacing w:val="30"/>
          <w:sz w:val="18"/>
        </w:rPr>
        <w:t xml:space="preserve"> </w:t>
      </w:r>
      <w:r>
        <w:rPr>
          <w:rFonts w:ascii="Theinhardt Regular"/>
          <w:color w:val="231F20"/>
          <w:sz w:val="18"/>
        </w:rPr>
        <w:t>2021</w:t>
      </w:r>
    </w:p>
    <w:p w14:paraId="3A378C3C" w14:textId="77777777" w:rsidR="00252704" w:rsidRDefault="00C51CE7">
      <w:pPr>
        <w:pStyle w:val="berschrift1"/>
        <w:spacing w:before="38" w:line="234" w:lineRule="exact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 xml:space="preserve">Die </w:t>
      </w:r>
      <w:proofErr w:type="spellStart"/>
      <w:r>
        <w:rPr>
          <w:color w:val="231F20"/>
        </w:rPr>
        <w:t>Albigna</w:t>
      </w:r>
      <w:proofErr w:type="spellEnd"/>
      <w:r>
        <w:rPr>
          <w:color w:val="231F20"/>
        </w:rPr>
        <w:t xml:space="preserve"> Solar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Bergell</w:t>
      </w:r>
      <w:proofErr w:type="spellEnd"/>
      <w:r>
        <w:rPr>
          <w:color w:val="231F20"/>
        </w:rPr>
        <w:t xml:space="preserve">/GR </w:t>
      </w:r>
      <w:proofErr w:type="spellStart"/>
      <w:r>
        <w:rPr>
          <w:color w:val="231F20"/>
          <w:spacing w:val="-1"/>
        </w:rPr>
        <w:t>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ersten</w:t>
      </w:r>
      <w:proofErr w:type="spellEnd"/>
      <w:r>
        <w:rPr>
          <w:color w:val="231F20"/>
        </w:rPr>
        <w:t xml:space="preserve"> auf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alpinen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Staumauer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montierten</w:t>
      </w:r>
      <w:proofErr w:type="spellEnd"/>
    </w:p>
    <w:p w14:paraId="000BBFB4" w14:textId="77777777" w:rsidR="00252704" w:rsidRDefault="00C51CE7">
      <w:pPr>
        <w:spacing w:before="5" w:line="227" w:lineRule="auto"/>
        <w:ind w:left="110" w:right="11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rPr>
          <w:rFonts w:ascii="Theinhardt Bold" w:hAnsi="Theinhardt Bold"/>
          <w:b/>
          <w:color w:val="231F20"/>
          <w:sz w:val="18"/>
        </w:rPr>
        <w:t>PV-Anlagen.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Die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alpine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Lage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erhöht</w:t>
      </w:r>
      <w:proofErr w:type="spellEnd"/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dank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intensiver</w:t>
      </w:r>
      <w:proofErr w:type="spellEnd"/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Solarstrahlung</w:t>
      </w:r>
      <w:proofErr w:type="spellEnd"/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kalter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8"/>
        </w:rPr>
        <w:t>Temperaturen</w:t>
      </w:r>
      <w:proofErr w:type="spellEnd"/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7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PV-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Wirkungsgrad</w:t>
      </w:r>
      <w:proofErr w:type="spellEnd"/>
      <w:r>
        <w:rPr>
          <w:rFonts w:ascii="Theinhardt Bold" w:hAnsi="Theinhardt Bold"/>
          <w:b/>
          <w:color w:val="231F20"/>
          <w:spacing w:val="-1"/>
          <w:sz w:val="18"/>
        </w:rPr>
        <w:t>.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Die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0.41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MW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starke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Anlage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produziert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etwa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Hälfte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des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Stroms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im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Winter-</w:t>
      </w:r>
      <w:r>
        <w:rPr>
          <w:rFonts w:ascii="Theinhardt Bold" w:hAnsi="Theinhardt Bold"/>
          <w:b/>
          <w:color w:val="231F20"/>
          <w:spacing w:val="58"/>
          <w:w w:val="99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8"/>
        </w:rPr>
        <w:t>halbjahr</w:t>
      </w:r>
      <w:proofErr w:type="spellEnd"/>
      <w:r>
        <w:rPr>
          <w:rFonts w:ascii="Theinhardt Bold" w:hAnsi="Theinhardt Bold"/>
          <w:b/>
          <w:color w:val="231F20"/>
          <w:spacing w:val="-2"/>
          <w:sz w:val="18"/>
        </w:rPr>
        <w:t>.</w:t>
      </w:r>
      <w:r>
        <w:rPr>
          <w:rFonts w:ascii="Theinhardt Bold" w:hAnsi="Theinhardt Bold"/>
          <w:b/>
          <w:color w:val="231F20"/>
          <w:spacing w:val="-1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Daran</w:t>
      </w:r>
      <w:r>
        <w:rPr>
          <w:rFonts w:ascii="Theinhardt Bold" w:hAnsi="Theinhardt Bold"/>
          <w:b/>
          <w:color w:val="231F20"/>
          <w:spacing w:val="-12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können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Bündner</w:t>
      </w:r>
      <w:proofErr w:type="spellEnd"/>
      <w:r>
        <w:rPr>
          <w:rFonts w:ascii="Theinhardt Bold" w:hAnsi="Theinhardt Bold"/>
          <w:b/>
          <w:color w:val="231F20"/>
          <w:sz w:val="18"/>
        </w:rPr>
        <w:t>/</w:t>
      </w:r>
      <w:proofErr w:type="spellStart"/>
      <w:r>
        <w:rPr>
          <w:rFonts w:ascii="Theinhardt Bold" w:hAnsi="Theinhardt Bold"/>
          <w:b/>
          <w:color w:val="231F20"/>
          <w:sz w:val="18"/>
        </w:rPr>
        <w:t>innen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beteiligen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-1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Eine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Chance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für</w:t>
      </w:r>
      <w:proofErr w:type="spellEnd"/>
      <w:r>
        <w:rPr>
          <w:rFonts w:ascii="Theinhardt Bold" w:hAnsi="Theinhardt Bold"/>
          <w:b/>
          <w:color w:val="231F20"/>
          <w:spacing w:val="-12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eine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rechtsgleiche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Betei</w:t>
      </w:r>
      <w:proofErr w:type="spellEnd"/>
      <w:r>
        <w:rPr>
          <w:rFonts w:ascii="Theinhardt Bold" w:hAnsi="Theinhardt Bold"/>
          <w:b/>
          <w:color w:val="231F20"/>
          <w:sz w:val="18"/>
        </w:rPr>
        <w:t>-</w:t>
      </w:r>
      <w:r>
        <w:rPr>
          <w:rFonts w:ascii="Theinhardt Bold" w:hAnsi="Theinhardt Bold"/>
          <w:b/>
          <w:color w:val="231F20"/>
          <w:spacing w:val="56"/>
          <w:w w:val="99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ligung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Stadtzürcher</w:t>
      </w:r>
      <w:proofErr w:type="spellEnd"/>
      <w:r>
        <w:rPr>
          <w:rFonts w:ascii="Theinhardt Bold" w:hAnsi="Theinhardt Bold"/>
          <w:b/>
          <w:color w:val="231F20"/>
          <w:sz w:val="18"/>
        </w:rPr>
        <w:t>/</w:t>
      </w:r>
      <w:proofErr w:type="spellStart"/>
      <w:r>
        <w:rPr>
          <w:rFonts w:ascii="Theinhardt Bold" w:hAnsi="Theinhardt Bold"/>
          <w:b/>
          <w:color w:val="231F20"/>
          <w:sz w:val="18"/>
        </w:rPr>
        <w:t>innen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mit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erheblich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mehr</w:t>
      </w:r>
      <w:proofErr w:type="spellEnd"/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Solarstrom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kann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das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8"/>
        </w:rPr>
        <w:t>EWZ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ermöglichen</w:t>
      </w:r>
      <w:proofErr w:type="spellEnd"/>
      <w:r>
        <w:rPr>
          <w:rFonts w:ascii="Theinhardt Bold" w:hAnsi="Theinhardt Bold"/>
          <w:b/>
          <w:color w:val="231F20"/>
          <w:sz w:val="18"/>
        </w:rPr>
        <w:t>,</w:t>
      </w:r>
      <w:r>
        <w:rPr>
          <w:rFonts w:ascii="Theinhardt Bold" w:hAnsi="Theinhardt Bold"/>
          <w:b/>
          <w:color w:val="231F20"/>
          <w:spacing w:val="-20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indem</w:t>
      </w:r>
      <w:proofErr w:type="spellEnd"/>
      <w:r>
        <w:rPr>
          <w:rFonts w:ascii="Theinhardt Bold" w:hAnsi="Theinhardt Bold"/>
          <w:b/>
          <w:color w:val="231F20"/>
          <w:spacing w:val="76"/>
          <w:w w:val="99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es</w:t>
      </w:r>
      <w:r>
        <w:rPr>
          <w:rFonts w:ascii="Theinhardt Bold" w:hAnsi="Theinhardt Bold"/>
          <w:b/>
          <w:color w:val="231F20"/>
          <w:spacing w:val="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verstärkt</w:t>
      </w:r>
      <w:proofErr w:type="spellEnd"/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8"/>
        </w:rPr>
        <w:t>mithilft</w:t>
      </w:r>
      <w:proofErr w:type="spellEnd"/>
      <w:r>
        <w:rPr>
          <w:rFonts w:ascii="Theinhardt Bold" w:hAnsi="Theinhardt Bold"/>
          <w:b/>
          <w:color w:val="231F20"/>
          <w:spacing w:val="1"/>
          <w:sz w:val="18"/>
        </w:rPr>
        <w:t>,</w:t>
      </w:r>
      <w:r>
        <w:rPr>
          <w:rFonts w:ascii="Theinhardt Bold" w:hAnsi="Theinhardt Bold"/>
          <w:b/>
          <w:color w:val="231F20"/>
          <w:spacing w:val="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Solarstromüberschüsse</w:t>
      </w:r>
      <w:proofErr w:type="spellEnd"/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Zürcher</w:t>
      </w:r>
      <w:proofErr w:type="spellEnd"/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PlusEnergieBauten</w:t>
      </w:r>
      <w:proofErr w:type="spellEnd"/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(PEB)</w:t>
      </w:r>
      <w:r>
        <w:rPr>
          <w:rFonts w:ascii="Theinhardt Bold" w:hAnsi="Theinhardt Bold"/>
          <w:b/>
          <w:color w:val="231F20"/>
          <w:spacing w:val="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im</w:t>
      </w:r>
      <w:proofErr w:type="spellEnd"/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Bergell</w:t>
      </w:r>
      <w:proofErr w:type="spellEnd"/>
      <w:r>
        <w:rPr>
          <w:rFonts w:ascii="Theinhardt Bold" w:hAnsi="Theinhardt Bold"/>
          <w:b/>
          <w:color w:val="231F20"/>
          <w:spacing w:val="82"/>
          <w:w w:val="99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auch</w:t>
      </w:r>
      <w:proofErr w:type="spellEnd"/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als</w:t>
      </w:r>
      <w:proofErr w:type="spellEnd"/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Pumpenergie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zu</w:t>
      </w:r>
      <w:proofErr w:type="spellEnd"/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nutzen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Damit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könnte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Stadt</w:t>
      </w:r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Zürich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bis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etwa</w:t>
      </w:r>
      <w:proofErr w:type="spellEnd"/>
      <w:r>
        <w:rPr>
          <w:rFonts w:ascii="Theinhardt Bold" w:hAnsi="Theinhardt Bold"/>
          <w:b/>
          <w:color w:val="231F20"/>
          <w:spacing w:val="-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14.5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TWh</w:t>
      </w:r>
      <w:proofErr w:type="spellEnd"/>
      <w:r>
        <w:rPr>
          <w:rFonts w:ascii="Theinhardt Bold" w:hAnsi="Theinhardt Bold"/>
          <w:b/>
          <w:color w:val="231F20"/>
          <w:sz w:val="18"/>
        </w:rPr>
        <w:t>/a</w:t>
      </w:r>
      <w:r>
        <w:rPr>
          <w:rFonts w:ascii="Theinhardt Bold" w:hAnsi="Theinhardt Bold"/>
          <w:b/>
          <w:color w:val="231F20"/>
          <w:spacing w:val="-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CO</w:t>
      </w:r>
      <w:r>
        <w:rPr>
          <w:rFonts w:ascii="Theinhardt Bold" w:hAnsi="Theinhardt Bold"/>
          <w:b/>
          <w:color w:val="231F20"/>
          <w:spacing w:val="-1"/>
          <w:position w:val="-5"/>
          <w:sz w:val="10"/>
        </w:rPr>
        <w:t>2</w:t>
      </w:r>
      <w:r>
        <w:rPr>
          <w:rFonts w:ascii="Theinhardt Bold" w:hAnsi="Theinhardt Bold"/>
          <w:b/>
          <w:color w:val="231F20"/>
          <w:spacing w:val="-1"/>
          <w:sz w:val="18"/>
        </w:rPr>
        <w:t>-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freien</w:t>
      </w:r>
      <w:proofErr w:type="spellEnd"/>
      <w:r>
        <w:rPr>
          <w:rFonts w:ascii="Theinhardt Bold" w:hAnsi="Theinhardt Bold"/>
          <w:b/>
          <w:color w:val="231F20"/>
          <w:spacing w:val="76"/>
          <w:w w:val="99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Solarstrom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substituieren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das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Pariser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Klimaabkommen</w:t>
      </w:r>
      <w:proofErr w:type="spellEnd"/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fristgerecht</w:t>
      </w:r>
      <w:proofErr w:type="spellEnd"/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pro</w:t>
      </w:r>
      <w:r>
        <w:rPr>
          <w:rFonts w:ascii="Theinhardt Bold" w:hAnsi="Theinhardt Bold"/>
          <w:b/>
          <w:color w:val="231F20"/>
          <w:spacing w:val="-2"/>
          <w:sz w:val="18"/>
        </w:rPr>
        <w:t>fi</w:t>
      </w:r>
      <w:r>
        <w:rPr>
          <w:rFonts w:ascii="Theinhardt Bold" w:hAnsi="Theinhardt Bold"/>
          <w:b/>
          <w:color w:val="231F20"/>
          <w:spacing w:val="-1"/>
          <w:sz w:val="18"/>
        </w:rPr>
        <w:t>tabel</w:t>
      </w:r>
      <w:proofErr w:type="spellEnd"/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umsetzen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</w:p>
    <w:p w14:paraId="5DC61110" w14:textId="77777777" w:rsidR="00252704" w:rsidRDefault="00252704">
      <w:pPr>
        <w:spacing w:line="227" w:lineRule="auto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52704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41" w:space="137"/>
            <w:col w:w="8052"/>
          </w:cols>
        </w:sectPr>
      </w:pPr>
    </w:p>
    <w:p w14:paraId="12898741" w14:textId="77777777" w:rsidR="00252704" w:rsidRDefault="0025270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1169411" w14:textId="77777777" w:rsidR="00252704" w:rsidRDefault="0025270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6E8E0F0" w14:textId="77777777" w:rsidR="00252704" w:rsidRDefault="00252704">
      <w:pPr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4F0A148E" w14:textId="77777777" w:rsidR="00252704" w:rsidRDefault="00C51CE7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proofErr w:type="spellStart"/>
      <w:r>
        <w:rPr>
          <w:rFonts w:ascii="Theinhardt Black"/>
          <w:b/>
          <w:color w:val="0067B1"/>
          <w:w w:val="90"/>
          <w:sz w:val="40"/>
        </w:rPr>
        <w:t>Staumauer</w:t>
      </w:r>
      <w:proofErr w:type="spellEnd"/>
      <w:r>
        <w:rPr>
          <w:rFonts w:ascii="Theinhardt Black"/>
          <w:b/>
          <w:color w:val="0067B1"/>
          <w:spacing w:val="-8"/>
          <w:w w:val="90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w w:val="90"/>
          <w:sz w:val="40"/>
        </w:rPr>
        <w:t>Albigna</w:t>
      </w:r>
      <w:proofErr w:type="spellEnd"/>
      <w:r>
        <w:rPr>
          <w:rFonts w:ascii="Theinhardt Black"/>
          <w:b/>
          <w:color w:val="0067B1"/>
          <w:spacing w:val="-8"/>
          <w:w w:val="90"/>
          <w:sz w:val="40"/>
        </w:rPr>
        <w:t xml:space="preserve"> </w:t>
      </w:r>
      <w:r>
        <w:rPr>
          <w:rFonts w:ascii="Theinhardt Black"/>
          <w:b/>
          <w:color w:val="0067B1"/>
          <w:w w:val="90"/>
          <w:sz w:val="40"/>
        </w:rPr>
        <w:t>Solar</w:t>
      </w:r>
      <w:r>
        <w:rPr>
          <w:rFonts w:ascii="Theinhardt Black"/>
          <w:b/>
          <w:color w:val="0067B1"/>
          <w:spacing w:val="-8"/>
          <w:w w:val="90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1"/>
          <w:w w:val="90"/>
          <w:sz w:val="40"/>
        </w:rPr>
        <w:t>im</w:t>
      </w:r>
      <w:proofErr w:type="spellEnd"/>
      <w:r>
        <w:rPr>
          <w:rFonts w:ascii="Theinhardt Black"/>
          <w:b/>
          <w:color w:val="0067B1"/>
          <w:spacing w:val="-8"/>
          <w:w w:val="90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1"/>
          <w:w w:val="90"/>
          <w:sz w:val="40"/>
        </w:rPr>
        <w:t>Bergell</w:t>
      </w:r>
      <w:proofErr w:type="spellEnd"/>
      <w:r>
        <w:rPr>
          <w:rFonts w:ascii="Theinhardt Black"/>
          <w:b/>
          <w:color w:val="0067B1"/>
          <w:spacing w:val="-1"/>
          <w:w w:val="90"/>
          <w:sz w:val="40"/>
        </w:rPr>
        <w:t>,</w:t>
      </w:r>
      <w:r>
        <w:rPr>
          <w:rFonts w:ascii="Theinhardt Black"/>
          <w:b/>
          <w:color w:val="0067B1"/>
          <w:spacing w:val="-28"/>
          <w:w w:val="90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w w:val="90"/>
          <w:sz w:val="40"/>
        </w:rPr>
        <w:t>7603</w:t>
      </w:r>
      <w:r>
        <w:rPr>
          <w:rFonts w:ascii="Theinhardt Black"/>
          <w:b/>
          <w:color w:val="0067B1"/>
          <w:spacing w:val="-29"/>
          <w:w w:val="90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1"/>
          <w:w w:val="90"/>
          <w:sz w:val="40"/>
        </w:rPr>
        <w:t>Vicosoprano</w:t>
      </w:r>
      <w:proofErr w:type="spellEnd"/>
      <w:r>
        <w:rPr>
          <w:rFonts w:ascii="Theinhardt Black"/>
          <w:b/>
          <w:color w:val="0067B1"/>
          <w:spacing w:val="-1"/>
          <w:w w:val="90"/>
          <w:sz w:val="40"/>
        </w:rPr>
        <w:t>/GR</w:t>
      </w:r>
    </w:p>
    <w:p w14:paraId="50C35C5C" w14:textId="77777777" w:rsidR="00252704" w:rsidRDefault="00252704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71BB07EA" w14:textId="77777777" w:rsidR="00252704" w:rsidRDefault="00252704">
      <w:pPr>
        <w:rPr>
          <w:rFonts w:ascii="Theinhardt Black" w:eastAsia="Theinhardt Black" w:hAnsi="Theinhardt Black" w:cs="Theinhardt Black"/>
          <w:sz w:val="23"/>
          <w:szCs w:val="23"/>
        </w:rPr>
        <w:sectPr w:rsidR="00252704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2F2B9BB0" w14:textId="77777777" w:rsidR="00252704" w:rsidRDefault="00C51CE7">
      <w:pPr>
        <w:pStyle w:val="Textkrper"/>
        <w:spacing w:line="230" w:lineRule="exact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Albigna</w:t>
      </w:r>
      <w:proofErr w:type="spellEnd"/>
      <w:r>
        <w:rPr>
          <w:color w:val="231F20"/>
          <w:spacing w:val="38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Photovoltaik</w:t>
      </w:r>
      <w:proofErr w:type="spellEnd"/>
      <w:r>
        <w:rPr>
          <w:color w:val="231F20"/>
          <w:spacing w:val="-2"/>
        </w:rPr>
        <w:t>-Anlage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</w:rPr>
        <w:t>2’165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m.ü.M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produziert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etwa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20"/>
          <w:w w:val="96"/>
        </w:rPr>
        <w:t xml:space="preserve"> </w:t>
      </w:r>
      <w:r>
        <w:rPr>
          <w:color w:val="231F20"/>
          <w:spacing w:val="-4"/>
        </w:rPr>
        <w:t>GWh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Winter-</w:t>
      </w:r>
      <w:proofErr w:type="spellStart"/>
      <w:r>
        <w:rPr>
          <w:color w:val="231F20"/>
          <w:spacing w:val="-2"/>
        </w:rPr>
        <w:t>Solarstrom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fünfmal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hö</w:t>
      </w:r>
      <w:proofErr w:type="spellEnd"/>
      <w:r>
        <w:rPr>
          <w:color w:val="231F20"/>
        </w:rPr>
        <w:t>-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3"/>
        </w:rPr>
        <w:t>here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Winterstromversorgung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Vergleich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zur</w:t>
      </w:r>
      <w:proofErr w:type="spellEnd"/>
      <w:r>
        <w:rPr>
          <w:color w:val="231F20"/>
          <w:spacing w:val="26"/>
          <w:w w:val="96"/>
        </w:rPr>
        <w:t xml:space="preserve"> </w:t>
      </w:r>
      <w:proofErr w:type="spellStart"/>
      <w:r>
        <w:rPr>
          <w:color w:val="231F20"/>
          <w:spacing w:val="-2"/>
        </w:rPr>
        <w:t>höheren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alpinen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PV-</w:t>
      </w:r>
      <w:proofErr w:type="spellStart"/>
      <w:r>
        <w:rPr>
          <w:color w:val="231F20"/>
          <w:spacing w:val="-3"/>
        </w:rPr>
        <w:t>Stromerzeugung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2"/>
        </w:rPr>
        <w:t>kann</w:t>
      </w:r>
      <w:proofErr w:type="spellEnd"/>
      <w:r>
        <w:rPr>
          <w:color w:val="231F20"/>
          <w:spacing w:val="39"/>
          <w:w w:val="9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Stadt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Zürich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seinen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230’000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Ge-</w:t>
      </w:r>
      <w:r>
        <w:rPr>
          <w:color w:val="231F20"/>
          <w:spacing w:val="29"/>
          <w:w w:val="96"/>
        </w:rPr>
        <w:t xml:space="preserve"> </w:t>
      </w:r>
      <w:proofErr w:type="spellStart"/>
      <w:r>
        <w:rPr>
          <w:color w:val="231F20"/>
        </w:rPr>
        <w:t>bäuden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gewährleisten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konsequente</w:t>
      </w:r>
      <w:proofErr w:type="spellEnd"/>
      <w:r>
        <w:rPr>
          <w:color w:val="231F20"/>
          <w:spacing w:val="23"/>
          <w:w w:val="96"/>
        </w:rPr>
        <w:t xml:space="preserve"> </w:t>
      </w:r>
      <w:proofErr w:type="spellStart"/>
      <w:r>
        <w:rPr>
          <w:color w:val="231F20"/>
        </w:rPr>
        <w:t>Nutzung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PEB-</w:t>
      </w:r>
      <w:proofErr w:type="spellStart"/>
      <w:r>
        <w:rPr>
          <w:color w:val="231F20"/>
          <w:spacing w:val="-2"/>
        </w:rPr>
        <w:t>Solarstromüberschüssen</w:t>
      </w:r>
      <w:proofErr w:type="spellEnd"/>
      <w:r>
        <w:rPr>
          <w:color w:val="231F20"/>
          <w:spacing w:val="28"/>
          <w:w w:val="96"/>
        </w:rPr>
        <w:t xml:space="preserve"> </w:t>
      </w:r>
      <w:proofErr w:type="spellStart"/>
      <w:r>
        <w:rPr>
          <w:color w:val="231F20"/>
          <w:spacing w:val="-2"/>
        </w:rPr>
        <w:t>kann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EWZ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solaren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Winterstromanteil</w:t>
      </w:r>
      <w:proofErr w:type="spellEnd"/>
      <w:r>
        <w:rPr>
          <w:color w:val="231F20"/>
          <w:spacing w:val="37"/>
          <w:w w:val="96"/>
        </w:rPr>
        <w:t xml:space="preserve"> </w:t>
      </w:r>
      <w:proofErr w:type="spellStart"/>
      <w:r>
        <w:rPr>
          <w:color w:val="231F20"/>
        </w:rPr>
        <w:t>doppelt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steigern</w:t>
      </w:r>
      <w:proofErr w:type="spellEnd"/>
      <w:r>
        <w:rPr>
          <w:color w:val="231F20"/>
        </w:rPr>
        <w:t>;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einerseits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indem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2"/>
        </w:rPr>
        <w:t>-</w:t>
      </w:r>
      <w:proofErr w:type="spellStart"/>
      <w:r>
        <w:rPr>
          <w:color w:val="231F20"/>
          <w:spacing w:val="-2"/>
        </w:rPr>
        <w:t>freien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Überschussstrom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Bergell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29"/>
          <w:w w:val="96"/>
        </w:rPr>
        <w:t xml:space="preserve"> </w:t>
      </w:r>
      <w:proofErr w:type="spellStart"/>
      <w:r>
        <w:rPr>
          <w:color w:val="231F20"/>
          <w:spacing w:val="-2"/>
        </w:rPr>
        <w:t>Pumpenergie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nutzt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und </w:t>
      </w:r>
      <w:proofErr w:type="spellStart"/>
      <w:r>
        <w:rPr>
          <w:color w:val="231F20"/>
        </w:rPr>
        <w:t>anderseits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dank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er-</w:t>
      </w:r>
      <w:r>
        <w:rPr>
          <w:color w:val="231F20"/>
          <w:spacing w:val="23"/>
          <w:w w:val="96"/>
        </w:rPr>
        <w:t xml:space="preserve"> </w:t>
      </w:r>
      <w:proofErr w:type="spellStart"/>
      <w:r>
        <w:rPr>
          <w:color w:val="231F20"/>
        </w:rPr>
        <w:t>heblich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grösserem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2"/>
        </w:rPr>
        <w:t>Fassadensolarstromanteil</w:t>
      </w:r>
      <w:proofErr w:type="spellEnd"/>
      <w:r>
        <w:rPr>
          <w:color w:val="231F20"/>
          <w:spacing w:val="27"/>
          <w:w w:val="9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2"/>
        </w:rPr>
        <w:t>mehrstöckigen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Gebäude</w:t>
      </w:r>
      <w:proofErr w:type="spellEnd"/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kann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6"/>
          <w:w w:val="96"/>
        </w:rPr>
        <w:t xml:space="preserve"> </w:t>
      </w:r>
      <w:r>
        <w:rPr>
          <w:color w:val="231F20"/>
        </w:rPr>
        <w:t>EWZ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tage</w:t>
      </w:r>
      <w:proofErr w:type="spellEnd"/>
      <w:r>
        <w:rPr>
          <w:color w:val="231F20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</w:rPr>
        <w:t>wochenweise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</w:rPr>
        <w:t>ausreichend</w:t>
      </w:r>
      <w:proofErr w:type="spellEnd"/>
      <w:r>
        <w:rPr>
          <w:color w:val="231F20"/>
          <w:spacing w:val="27"/>
          <w:w w:val="96"/>
        </w:rPr>
        <w:t xml:space="preserve"> </w:t>
      </w:r>
      <w:r>
        <w:rPr>
          <w:color w:val="231F20"/>
        </w:rPr>
        <w:t>Winter-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2"/>
        </w:rPr>
        <w:t>Nachtstrom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substituieren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</w:rPr>
        <w:t>EWZ-Netz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3"/>
        </w:rPr>
        <w:t>wird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stabiler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EU-</w:t>
      </w:r>
      <w:proofErr w:type="spellStart"/>
      <w:r>
        <w:rPr>
          <w:color w:val="231F20"/>
          <w:spacing w:val="-3"/>
        </w:rPr>
        <w:t>Stromim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31"/>
          <w:w w:val="96"/>
        </w:rPr>
        <w:t xml:space="preserve"> </w:t>
      </w:r>
      <w:proofErr w:type="spellStart"/>
      <w:r>
        <w:rPr>
          <w:color w:val="231F20"/>
        </w:rPr>
        <w:t>porten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unabhängiger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Umsetzung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9"/>
          <w:w w:val="96"/>
        </w:rPr>
        <w:t xml:space="preserve"> </w:t>
      </w:r>
      <w:proofErr w:type="spellStart"/>
      <w:r>
        <w:rPr>
          <w:color w:val="231F20"/>
        </w:rPr>
        <w:t>vom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Souverän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beschlossenen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Effizienzbe</w:t>
      </w:r>
      <w:proofErr w:type="spellEnd"/>
      <w:r>
        <w:rPr>
          <w:color w:val="231F20"/>
        </w:rPr>
        <w:t>-</w:t>
      </w:r>
      <w:r>
        <w:rPr>
          <w:color w:val="231F20"/>
          <w:spacing w:val="33"/>
          <w:w w:val="96"/>
        </w:rPr>
        <w:t xml:space="preserve"> </w:t>
      </w:r>
      <w:proofErr w:type="spellStart"/>
      <w:r>
        <w:rPr>
          <w:color w:val="231F20"/>
          <w:spacing w:val="-2"/>
        </w:rPr>
        <w:t>stimmungen</w:t>
      </w:r>
      <w:proofErr w:type="spellEnd"/>
      <w:r>
        <w:rPr>
          <w:color w:val="231F20"/>
          <w:spacing w:val="-2"/>
        </w:rPr>
        <w:t>*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3"/>
        </w:rPr>
        <w:t>können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EWZ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Stadt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14.5</w:t>
      </w:r>
      <w:r>
        <w:rPr>
          <w:color w:val="231F20"/>
          <w:spacing w:val="32"/>
          <w:w w:val="96"/>
        </w:rPr>
        <w:t xml:space="preserve"> </w:t>
      </w:r>
      <w:proofErr w:type="spellStart"/>
      <w:r>
        <w:rPr>
          <w:color w:val="231F20"/>
          <w:spacing w:val="-3"/>
        </w:rPr>
        <w:t>TWh</w:t>
      </w:r>
      <w:proofErr w:type="spellEnd"/>
      <w:r>
        <w:rPr>
          <w:color w:val="231F20"/>
          <w:spacing w:val="-3"/>
        </w:rPr>
        <w:t>/a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substituieren</w:t>
      </w:r>
      <w:proofErr w:type="spellEnd"/>
      <w:r>
        <w:rPr>
          <w:color w:val="231F20"/>
          <w:spacing w:val="-2"/>
        </w:rPr>
        <w:t>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zwei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Drittel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davon</w:t>
      </w:r>
      <w:proofErr w:type="spellEnd"/>
      <w:r>
        <w:rPr>
          <w:color w:val="231F20"/>
          <w:spacing w:val="42"/>
          <w:w w:val="96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  <w:spacing w:val="-3"/>
          <w:position w:val="-5"/>
          <w:sz w:val="10"/>
          <w:szCs w:val="10"/>
        </w:rPr>
        <w:t xml:space="preserve"> </w:t>
      </w:r>
      <w:proofErr w:type="spellStart"/>
      <w:r>
        <w:rPr>
          <w:color w:val="231F20"/>
          <w:spacing w:val="-2"/>
        </w:rPr>
        <w:t>treibende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fossil-</w:t>
      </w:r>
      <w:proofErr w:type="spellStart"/>
      <w:r>
        <w:rPr>
          <w:color w:val="231F20"/>
          <w:spacing w:val="-2"/>
        </w:rPr>
        <w:t>nukleare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2"/>
        </w:rPr>
        <w:t>Energien</w:t>
      </w:r>
      <w:proofErr w:type="spellEnd"/>
      <w:r>
        <w:rPr>
          <w:color w:val="231F20"/>
          <w:spacing w:val="-2"/>
        </w:rPr>
        <w:t>.</w:t>
      </w:r>
    </w:p>
    <w:p w14:paraId="37007632" w14:textId="77777777" w:rsidR="00252704" w:rsidRDefault="00C51CE7">
      <w:pPr>
        <w:pStyle w:val="Textkrper"/>
        <w:spacing w:line="230" w:lineRule="exact"/>
        <w:jc w:val="both"/>
      </w:pPr>
      <w:r>
        <w:br w:type="column"/>
      </w:r>
      <w:r>
        <w:rPr>
          <w:color w:val="231F20"/>
        </w:rPr>
        <w:t>Innovative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  <w:spacing w:val="-1"/>
        </w:rPr>
        <w:t>Zürcher</w:t>
      </w:r>
      <w:proofErr w:type="spellEnd"/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Gebäudeunternehmer</w:t>
      </w:r>
      <w:proofErr w:type="spellEnd"/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nicht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weniger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befähigt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andere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1"/>
        </w:rPr>
        <w:t>emis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  <w:spacing w:val="-1"/>
        </w:rPr>
        <w:t>sionsfreie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700%-PEB-</w:t>
      </w:r>
      <w:proofErr w:type="spellStart"/>
      <w:r>
        <w:rPr>
          <w:color w:val="231F20"/>
          <w:spacing w:val="-1"/>
        </w:rPr>
        <w:t>Sanierungen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800%-PEB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28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realisieren</w:t>
      </w:r>
      <w:proofErr w:type="spellEnd"/>
      <w:r>
        <w:rPr>
          <w:color w:val="231F20"/>
          <w:spacing w:val="-1"/>
        </w:rPr>
        <w:t>.*</w:t>
      </w:r>
      <w:proofErr w:type="gramEnd"/>
      <w:r>
        <w:rPr>
          <w:color w:val="231F20"/>
          <w:spacing w:val="-1"/>
        </w:rPr>
        <w:t>*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Dadurch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Pariser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Klimaabkommen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fristgerecht</w:t>
      </w:r>
      <w:proofErr w:type="spellEnd"/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1"/>
        </w:rPr>
        <w:t>profitabel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1"/>
        </w:rPr>
        <w:t>erreicht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1"/>
        </w:rPr>
        <w:t>werden</w:t>
      </w:r>
      <w:proofErr w:type="spellEnd"/>
      <w:r>
        <w:rPr>
          <w:color w:val="231F20"/>
          <w:spacing w:val="-1"/>
        </w:rPr>
        <w:t>;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weil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durch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36"/>
          <w:w w:val="99"/>
        </w:rPr>
        <w:t xml:space="preserve"> </w:t>
      </w:r>
      <w:proofErr w:type="spellStart"/>
      <w:r>
        <w:rPr>
          <w:color w:val="231F20"/>
        </w:rPr>
        <w:t>schnittliche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PEB-</w:t>
      </w:r>
      <w:proofErr w:type="spellStart"/>
      <w:r>
        <w:rPr>
          <w:color w:val="231F20"/>
          <w:spacing w:val="-1"/>
        </w:rPr>
        <w:t>Amortisationen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Jahre</w:t>
      </w:r>
      <w:r>
        <w:rPr>
          <w:color w:val="231F20"/>
          <w:spacing w:val="47"/>
          <w:w w:val="99"/>
        </w:rPr>
        <w:t xml:space="preserve"> </w:t>
      </w:r>
      <w:proofErr w:type="spellStart"/>
      <w:r>
        <w:rPr>
          <w:color w:val="231F20"/>
        </w:rPr>
        <w:t>dauern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befolgt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EWZ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weitbli</w:t>
      </w:r>
      <w:proofErr w:type="spellEnd"/>
      <w:r>
        <w:rPr>
          <w:color w:val="231F20"/>
        </w:rPr>
        <w:t>-</w:t>
      </w:r>
      <w:r>
        <w:rPr>
          <w:color w:val="231F20"/>
          <w:spacing w:val="30"/>
          <w:w w:val="99"/>
        </w:rPr>
        <w:t xml:space="preserve"> </w:t>
      </w:r>
      <w:proofErr w:type="spellStart"/>
      <w:r>
        <w:rPr>
          <w:color w:val="231F20"/>
          <w:spacing w:val="-1"/>
        </w:rPr>
        <w:t>ckende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Strategie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2"/>
        </w:rPr>
        <w:t>ihres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Direktors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Benedikt</w:t>
      </w:r>
      <w:r>
        <w:rPr>
          <w:color w:val="231F20"/>
          <w:spacing w:val="40"/>
          <w:w w:val="99"/>
        </w:rPr>
        <w:t xml:space="preserve"> </w:t>
      </w:r>
      <w:proofErr w:type="spellStart"/>
      <w:r>
        <w:rPr>
          <w:color w:val="231F20"/>
          <w:spacing w:val="-2"/>
        </w:rPr>
        <w:t>Löpfe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heute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1"/>
        </w:rPr>
        <w:t>bereits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warnt</w:t>
      </w:r>
      <w:proofErr w:type="spellEnd"/>
      <w:r>
        <w:rPr>
          <w:color w:val="231F20"/>
        </w:rPr>
        <w:t>: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knapp</w:t>
      </w:r>
      <w:proofErr w:type="spellEnd"/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werden</w:t>
      </w:r>
      <w:proofErr w:type="spellEnd"/>
      <w:r>
        <w:rPr>
          <w:color w:val="231F20"/>
          <w:spacing w:val="-1"/>
        </w:rPr>
        <w:t>.*</w:t>
      </w:r>
      <w:proofErr w:type="gramEnd"/>
      <w:r>
        <w:rPr>
          <w:color w:val="231F20"/>
          <w:spacing w:val="-1"/>
        </w:rPr>
        <w:t>**</w:t>
      </w:r>
    </w:p>
    <w:p w14:paraId="27C32C0A" w14:textId="77777777" w:rsidR="00252704" w:rsidRDefault="00252704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057D473D" w14:textId="77777777" w:rsidR="00252704" w:rsidRDefault="00C51CE7">
      <w:pPr>
        <w:spacing w:line="230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val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Bregaglia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premières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centrales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haute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montagne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isse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barrage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d’Albigna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(GR).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rayonnement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intense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couverture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neigeuse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réfléchissante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aug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mentent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rendement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modules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PV,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comme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froides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températures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régnant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altitude.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Près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50%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l’électricité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ainsi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produits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hiver.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L’installation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0,41 MW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500’000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</w:p>
    <w:p w14:paraId="3222AD34" w14:textId="77777777" w:rsidR="00252704" w:rsidRDefault="00C51CE7">
      <w:pPr>
        <w:spacing w:before="5"/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  <w:r>
        <w:br w:type="column"/>
      </w:r>
    </w:p>
    <w:p w14:paraId="775B66A6" w14:textId="77777777" w:rsidR="00252704" w:rsidRDefault="00C51CE7">
      <w:pPr>
        <w:tabs>
          <w:tab w:val="left" w:pos="3446"/>
        </w:tabs>
        <w:spacing w:line="20" w:lineRule="atLeast"/>
        <w:ind w:left="110"/>
        <w:rPr>
          <w:rFonts w:ascii="Theinhardt Regular Italic" w:eastAsia="Theinhardt Regular Italic" w:hAnsi="Theinhardt Regular Italic" w:cs="Theinhardt Regular Italic"/>
          <w:sz w:val="2"/>
          <w:szCs w:val="2"/>
        </w:rPr>
      </w:pPr>
      <w:r>
        <w:rPr>
          <w:rFonts w:ascii="Theinhardt Regular Italic"/>
          <w:sz w:val="2"/>
        </w:rPr>
      </w:r>
      <w:r>
        <w:rPr>
          <w:rFonts w:ascii="Theinhardt Regular Italic"/>
          <w:sz w:val="2"/>
        </w:rPr>
        <w:pict w14:anchorId="5805A8B1">
          <v:group id="_x0000_s1044" style="width:.45pt;height:.45pt;mso-position-horizontal-relative:char;mso-position-vertical-relative:line" coordsize="9,9"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Regular Italic"/>
          <w:sz w:val="2"/>
        </w:rPr>
        <w:tab/>
      </w:r>
      <w:r>
        <w:rPr>
          <w:rFonts w:ascii="Theinhardt Regular Italic"/>
          <w:sz w:val="2"/>
        </w:rPr>
      </w:r>
      <w:r>
        <w:rPr>
          <w:rFonts w:ascii="Theinhardt Regular Italic"/>
          <w:sz w:val="2"/>
        </w:rPr>
        <w:pict w14:anchorId="7107EB09">
          <v:group id="_x0000_s1041" style="width:.45pt;height:.45pt;mso-position-horizontal-relative:char;mso-position-vertical-relative:line" coordsize="9,9">
            <v:group id="_x0000_s1042" style="position:absolute;left:4;top:4;width:2;height:2" coordorigin="4,4" coordsize="2,2">
              <v:shape id="_x0000_s1043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087DE871" w14:textId="77777777" w:rsidR="00252704" w:rsidRDefault="00252704">
      <w:pPr>
        <w:rPr>
          <w:rFonts w:ascii="Theinhardt Regular Italic" w:eastAsia="Theinhardt Regular Italic" w:hAnsi="Theinhardt Regular Italic" w:cs="Theinhardt Regular Italic"/>
          <w:i/>
          <w:sz w:val="14"/>
          <w:szCs w:val="14"/>
        </w:rPr>
      </w:pPr>
    </w:p>
    <w:p w14:paraId="614AED86" w14:textId="77777777" w:rsidR="00252704" w:rsidRDefault="00252704">
      <w:pPr>
        <w:rPr>
          <w:rFonts w:ascii="Theinhardt Regular Italic" w:eastAsia="Theinhardt Regular Italic" w:hAnsi="Theinhardt Regular Italic" w:cs="Theinhardt Regular Italic"/>
          <w:i/>
          <w:sz w:val="14"/>
          <w:szCs w:val="14"/>
        </w:rPr>
      </w:pPr>
    </w:p>
    <w:p w14:paraId="1287098B" w14:textId="77777777" w:rsidR="00252704" w:rsidRDefault="00C51CE7">
      <w:pPr>
        <w:spacing w:before="95" w:line="160" w:lineRule="exact"/>
        <w:ind w:left="110" w:right="213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57D0999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6.95pt;margin-top:-34.5pt;width:171.15pt;height:38.4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1"/>
                    <w:gridCol w:w="560"/>
                    <w:gridCol w:w="693"/>
                    <w:gridCol w:w="859"/>
                  </w:tblGrid>
                  <w:tr w:rsidR="00252704" w14:paraId="12FAEE66" w14:textId="77777777">
                    <w:trPr>
                      <w:trHeight w:hRule="exact" w:val="296"/>
                    </w:trPr>
                    <w:tc>
                      <w:tcPr>
                        <w:tcW w:w="1311" w:type="dxa"/>
                        <w:tcBorders>
                          <w:top w:val="nil"/>
                          <w:left w:val="nil"/>
                          <w:bottom w:val="dotted" w:sz="3" w:space="0" w:color="231F20"/>
                          <w:right w:val="nil"/>
                        </w:tcBorders>
                      </w:tcPr>
                      <w:p w14:paraId="41EEDD7A" w14:textId="77777777" w:rsidR="00252704" w:rsidRDefault="00C51CE7">
                        <w:pPr>
                          <w:pStyle w:val="TableParagraph"/>
                          <w:spacing w:before="67"/>
                          <w:ind w:left="55"/>
                          <w:rPr>
                            <w:rFonts w:ascii="Theinhardt Black" w:eastAsia="Theinhardt Black" w:hAnsi="Theinhardt Black" w:cs="Theinhardt Black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heinhardt Black"/>
                            <w:b/>
                            <w:color w:val="231F20"/>
                            <w:sz w:val="14"/>
                          </w:rPr>
                          <w:t>Technische</w:t>
                        </w:r>
                        <w:proofErr w:type="spellEnd"/>
                        <w:r>
                          <w:rPr>
                            <w:rFonts w:ascii="Theinhardt Black"/>
                            <w:b/>
                            <w:color w:val="231F20"/>
                            <w:sz w:val="14"/>
                          </w:rPr>
                          <w:t xml:space="preserve"> Daten</w:t>
                        </w:r>
                      </w:p>
                    </w:tc>
                    <w:tc>
                      <w:tcPr>
                        <w:tcW w:w="2111" w:type="dxa"/>
                        <w:gridSpan w:val="3"/>
                        <w:tcBorders>
                          <w:top w:val="nil"/>
                          <w:left w:val="nil"/>
                          <w:bottom w:val="dotted" w:sz="3" w:space="0" w:color="231F20"/>
                          <w:right w:val="nil"/>
                        </w:tcBorders>
                      </w:tcPr>
                      <w:p w14:paraId="03B35CC7" w14:textId="77777777" w:rsidR="00252704" w:rsidRDefault="00252704"/>
                    </w:tc>
                  </w:tr>
                  <w:tr w:rsidR="00252704" w14:paraId="5F77ED9B" w14:textId="77777777">
                    <w:trPr>
                      <w:trHeight w:hRule="exact" w:val="471"/>
                    </w:trPr>
                    <w:tc>
                      <w:tcPr>
                        <w:tcW w:w="1311" w:type="dxa"/>
                        <w:tcBorders>
                          <w:top w:val="dotted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3F988A0F" w14:textId="77777777" w:rsidR="00252704" w:rsidRDefault="00C51CE7">
                        <w:pPr>
                          <w:pStyle w:val="TableParagraph"/>
                          <w:spacing w:before="52" w:line="160" w:lineRule="exact"/>
                          <w:ind w:left="55" w:right="10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Energieproduktion</w:t>
                        </w:r>
                        <w:proofErr w:type="spellEnd"/>
                        <w:r>
                          <w:rPr>
                            <w:rFonts w:ascii="Theinhardt Bold"/>
                            <w:b/>
                            <w:color w:val="231F20"/>
                            <w:spacing w:val="2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Solarstrom</w:t>
                        </w:r>
                        <w:proofErr w:type="spellEnd"/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dotted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59F53478" w14:textId="77777777" w:rsidR="00252704" w:rsidRDefault="00C51CE7">
                        <w:pPr>
                          <w:pStyle w:val="TableParagraph"/>
                          <w:spacing w:before="60" w:line="203" w:lineRule="auto"/>
                          <w:ind w:left="12" w:right="193" w:firstLine="190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-4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21"/>
                            <w:w w:val="102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2'176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dotted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2EEAC353" w14:textId="77777777" w:rsidR="00252704" w:rsidRDefault="00C51CE7">
                        <w:pPr>
                          <w:pStyle w:val="TableParagraph"/>
                          <w:spacing w:before="52" w:line="160" w:lineRule="exact"/>
                          <w:ind w:left="230" w:right="226" w:hanging="36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kWp</w:t>
                        </w:r>
                        <w:proofErr w:type="spellEnd"/>
                        <w:r>
                          <w:rPr>
                            <w:rFonts w:ascii="Theinhardt Regular"/>
                            <w:color w:val="231F20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410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dotted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7F5417EC" w14:textId="77777777" w:rsidR="00252704" w:rsidRDefault="00C51CE7">
                        <w:pPr>
                          <w:pStyle w:val="TableParagraph"/>
                          <w:spacing w:before="44" w:line="172" w:lineRule="exact"/>
                          <w:ind w:left="297"/>
                          <w:jc w:val="center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</w:p>
                      <w:p w14:paraId="5826B198" w14:textId="77777777" w:rsidR="00252704" w:rsidRDefault="00C51CE7">
                        <w:pPr>
                          <w:pStyle w:val="TableParagraph"/>
                          <w:spacing w:line="172" w:lineRule="exact"/>
                          <w:ind w:left="153"/>
                          <w:jc w:val="center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495'000</w:t>
                        </w:r>
                      </w:p>
                    </w:tc>
                  </w:tr>
                </w:tbl>
                <w:p w14:paraId="16E347E6" w14:textId="77777777" w:rsidR="00252704" w:rsidRDefault="00252704"/>
              </w:txbxContent>
            </v:textbox>
            <w10:wrap anchorx="page"/>
          </v:shape>
        </w:pict>
      </w: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ewz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Juli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Marco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Zanetti,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58 </w:t>
      </w:r>
      <w:r>
        <w:rPr>
          <w:rFonts w:ascii="Theinhardt Regular" w:hAnsi="Theinhardt Regular"/>
          <w:color w:val="231F20"/>
          <w:spacing w:val="-4"/>
          <w:sz w:val="14"/>
        </w:rPr>
        <w:t>319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14</w:t>
      </w:r>
    </w:p>
    <w:p w14:paraId="6185E77F" w14:textId="77777777" w:rsidR="00252704" w:rsidRDefault="00C51CE7">
      <w:pPr>
        <w:spacing w:before="76" w:line="160" w:lineRule="exact"/>
        <w:ind w:left="337" w:right="213" w:hanging="227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/>
          <w:i/>
          <w:color w:val="231F20"/>
          <w:sz w:val="14"/>
        </w:rPr>
        <w:t xml:space="preserve">*   </w:t>
      </w:r>
      <w:r>
        <w:rPr>
          <w:rFonts w:ascii="Theinhardt Regular Italic"/>
          <w:i/>
          <w:color w:val="231F20"/>
          <w:spacing w:val="23"/>
          <w:sz w:val="14"/>
        </w:rPr>
        <w:t xml:space="preserve"> </w:t>
      </w:r>
      <w:r>
        <w:rPr>
          <w:rFonts w:ascii="Theinhardt Regular Italic"/>
          <w:i/>
          <w:color w:val="231F20"/>
          <w:spacing w:val="3"/>
          <w:sz w:val="14"/>
        </w:rPr>
        <w:t>Art.</w:t>
      </w:r>
      <w:r>
        <w:rPr>
          <w:rFonts w:ascii="Theinhardt Regular Italic"/>
          <w:i/>
          <w:color w:val="231F20"/>
          <w:sz w:val="14"/>
        </w:rPr>
        <w:t xml:space="preserve"> 89 </w:t>
      </w:r>
      <w:r>
        <w:rPr>
          <w:rFonts w:ascii="Theinhardt Regular Italic"/>
          <w:i/>
          <w:color w:val="231F20"/>
          <w:spacing w:val="-3"/>
          <w:sz w:val="14"/>
        </w:rPr>
        <w:t>BV,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3"/>
          <w:sz w:val="14"/>
        </w:rPr>
        <w:t>Art.</w:t>
      </w:r>
      <w:r>
        <w:rPr>
          <w:rFonts w:ascii="Theinhardt Regular Italic"/>
          <w:i/>
          <w:color w:val="231F20"/>
          <w:sz w:val="14"/>
        </w:rPr>
        <w:t xml:space="preserve"> 5 </w:t>
      </w:r>
      <w:r>
        <w:rPr>
          <w:rFonts w:ascii="Theinhardt Regular Italic"/>
          <w:i/>
          <w:color w:val="231F20"/>
          <w:spacing w:val="2"/>
          <w:sz w:val="14"/>
        </w:rPr>
        <w:t>Abs.</w:t>
      </w:r>
      <w:r>
        <w:rPr>
          <w:rFonts w:ascii="Theinhardt Regular Italic"/>
          <w:i/>
          <w:color w:val="231F20"/>
          <w:sz w:val="14"/>
        </w:rPr>
        <w:t xml:space="preserve"> 1 </w:t>
      </w:r>
      <w:r>
        <w:rPr>
          <w:rFonts w:ascii="Theinhardt Regular Italic"/>
          <w:i/>
          <w:color w:val="231F20"/>
          <w:spacing w:val="1"/>
          <w:sz w:val="14"/>
        </w:rPr>
        <w:t>EnG,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3"/>
          <w:sz w:val="14"/>
        </w:rPr>
        <w:t>Art.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-2"/>
          <w:sz w:val="14"/>
        </w:rPr>
        <w:t>106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-1"/>
          <w:sz w:val="14"/>
        </w:rPr>
        <w:t>KV/ZH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1"/>
          <w:sz w:val="14"/>
        </w:rPr>
        <w:t>und</w:t>
      </w:r>
      <w:r>
        <w:rPr>
          <w:rFonts w:ascii="Theinhardt Regular Italic"/>
          <w:i/>
          <w:color w:val="231F20"/>
          <w:spacing w:val="28"/>
          <w:sz w:val="14"/>
        </w:rPr>
        <w:t xml:space="preserve"> </w:t>
      </w:r>
      <w:r>
        <w:rPr>
          <w:rFonts w:ascii="Theinhardt Regular Italic"/>
          <w:i/>
          <w:color w:val="231F20"/>
          <w:spacing w:val="2"/>
          <w:sz w:val="14"/>
        </w:rPr>
        <w:t>Art.2ter</w:t>
      </w:r>
      <w:r>
        <w:rPr>
          <w:rFonts w:ascii="Theinhardt Regular Italic"/>
          <w:i/>
          <w:color w:val="231F20"/>
          <w:sz w:val="14"/>
        </w:rPr>
        <w:t xml:space="preserve"> GO </w:t>
      </w:r>
      <w:r>
        <w:rPr>
          <w:rFonts w:ascii="Theinhardt Regular Italic"/>
          <w:i/>
          <w:color w:val="231F20"/>
          <w:spacing w:val="1"/>
          <w:sz w:val="14"/>
        </w:rPr>
        <w:t>Stadt/ZH</w:t>
      </w:r>
      <w:r>
        <w:rPr>
          <w:rFonts w:ascii="Theinhardt Regular Italic"/>
          <w:i/>
          <w:color w:val="231F20"/>
          <w:sz w:val="14"/>
        </w:rPr>
        <w:t xml:space="preserve"> (2000W. </w:t>
      </w:r>
      <w:r>
        <w:rPr>
          <w:rFonts w:ascii="Theinhardt Regular Italic"/>
          <w:i/>
          <w:color w:val="231F20"/>
          <w:spacing w:val="-5"/>
          <w:sz w:val="14"/>
        </w:rPr>
        <w:t>28-11-1988)</w:t>
      </w:r>
    </w:p>
    <w:p w14:paraId="690ED058" w14:textId="77777777" w:rsidR="00252704" w:rsidRDefault="00C51CE7">
      <w:pPr>
        <w:spacing w:line="165" w:lineRule="exact"/>
        <w:ind w:left="110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/>
          <w:i/>
          <w:color w:val="231F20"/>
          <w:spacing w:val="1"/>
          <w:w w:val="90"/>
          <w:sz w:val="14"/>
        </w:rPr>
        <w:t>**</w:t>
      </w:r>
      <w:r>
        <w:rPr>
          <w:rFonts w:ascii="Theinhardt Regular Italic"/>
          <w:i/>
          <w:color w:val="231F20"/>
          <w:w w:val="90"/>
          <w:sz w:val="14"/>
        </w:rPr>
        <w:t xml:space="preserve">  </w:t>
      </w:r>
      <w:r>
        <w:rPr>
          <w:rFonts w:ascii="Theinhardt Regular Italic"/>
          <w:i/>
          <w:color w:val="231F20"/>
          <w:spacing w:val="25"/>
          <w:w w:val="90"/>
          <w:sz w:val="14"/>
        </w:rPr>
        <w:t xml:space="preserve"> </w:t>
      </w:r>
      <w:r>
        <w:rPr>
          <w:rFonts w:ascii="Theinhardt Regular Italic"/>
          <w:i/>
          <w:color w:val="231F20"/>
          <w:spacing w:val="1"/>
          <w:w w:val="90"/>
          <w:sz w:val="14"/>
        </w:rPr>
        <w:t>700%-PEB-Anliker/BE</w:t>
      </w:r>
      <w:r>
        <w:rPr>
          <w:rFonts w:ascii="Theinhardt Regular Italic"/>
          <w:i/>
          <w:color w:val="231F20"/>
          <w:spacing w:val="2"/>
          <w:w w:val="90"/>
          <w:sz w:val="14"/>
        </w:rPr>
        <w:t xml:space="preserve"> </w:t>
      </w:r>
      <w:r>
        <w:rPr>
          <w:rFonts w:ascii="Theinhardt Regular Italic"/>
          <w:i/>
          <w:color w:val="231F20"/>
          <w:w w:val="90"/>
          <w:sz w:val="14"/>
        </w:rPr>
        <w:t>u.</w:t>
      </w:r>
      <w:r>
        <w:rPr>
          <w:rFonts w:ascii="Theinhardt Regular Italic"/>
          <w:i/>
          <w:color w:val="231F20"/>
          <w:spacing w:val="2"/>
          <w:w w:val="90"/>
          <w:sz w:val="14"/>
        </w:rPr>
        <w:t xml:space="preserve"> </w:t>
      </w:r>
      <w:r>
        <w:rPr>
          <w:rFonts w:ascii="Theinhardt Regular Italic"/>
          <w:i/>
          <w:color w:val="231F20"/>
          <w:spacing w:val="1"/>
          <w:w w:val="90"/>
          <w:sz w:val="14"/>
        </w:rPr>
        <w:t>800%-PEB-</w:t>
      </w:r>
      <w:proofErr w:type="spellStart"/>
      <w:r>
        <w:rPr>
          <w:rFonts w:ascii="Theinhardt Regular Italic"/>
          <w:i/>
          <w:color w:val="231F20"/>
          <w:spacing w:val="1"/>
          <w:w w:val="90"/>
          <w:sz w:val="14"/>
        </w:rPr>
        <w:t>Waltensburg</w:t>
      </w:r>
      <w:proofErr w:type="spellEnd"/>
      <w:r>
        <w:rPr>
          <w:rFonts w:ascii="Theinhardt Regular Italic"/>
          <w:i/>
          <w:color w:val="231F20"/>
          <w:spacing w:val="1"/>
          <w:w w:val="90"/>
          <w:sz w:val="14"/>
        </w:rPr>
        <w:t>/</w:t>
      </w:r>
      <w:proofErr w:type="gramStart"/>
      <w:r>
        <w:rPr>
          <w:rFonts w:ascii="Theinhardt Regular Italic"/>
          <w:i/>
          <w:color w:val="231F20"/>
          <w:spacing w:val="1"/>
          <w:w w:val="90"/>
          <w:sz w:val="14"/>
        </w:rPr>
        <w:t>GR;</w:t>
      </w:r>
      <w:proofErr w:type="gramEnd"/>
    </w:p>
    <w:p w14:paraId="785BBEAB" w14:textId="77777777" w:rsidR="00252704" w:rsidRDefault="00C51CE7">
      <w:pPr>
        <w:spacing w:line="172" w:lineRule="exact"/>
        <w:ind w:left="110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/>
          <w:i/>
          <w:color w:val="231F20"/>
          <w:spacing w:val="3"/>
          <w:sz w:val="14"/>
        </w:rPr>
        <w:t>***</w:t>
      </w:r>
      <w:r>
        <w:rPr>
          <w:rFonts w:ascii="Theinhardt Regular Italic"/>
          <w:i/>
          <w:color w:val="231F20"/>
          <w:spacing w:val="24"/>
          <w:sz w:val="14"/>
        </w:rPr>
        <w:t xml:space="preserve"> </w:t>
      </w:r>
      <w:proofErr w:type="spellStart"/>
      <w:r>
        <w:rPr>
          <w:rFonts w:ascii="Theinhardt Regular Italic"/>
          <w:i/>
          <w:color w:val="231F20"/>
          <w:spacing w:val="1"/>
          <w:sz w:val="14"/>
        </w:rPr>
        <w:t>NZZaS</w:t>
      </w:r>
      <w:proofErr w:type="spellEnd"/>
      <w:r>
        <w:rPr>
          <w:rFonts w:ascii="Theinhardt Regular Italic"/>
          <w:i/>
          <w:color w:val="231F20"/>
          <w:spacing w:val="1"/>
          <w:sz w:val="14"/>
        </w:rPr>
        <w:t>,</w:t>
      </w:r>
      <w:r>
        <w:rPr>
          <w:rFonts w:ascii="Theinhardt Regular Italic"/>
          <w:i/>
          <w:color w:val="231F20"/>
          <w:sz w:val="14"/>
        </w:rPr>
        <w:t xml:space="preserve"> 3. </w:t>
      </w:r>
      <w:proofErr w:type="spellStart"/>
      <w:r>
        <w:rPr>
          <w:rFonts w:ascii="Theinhardt Regular Italic"/>
          <w:i/>
          <w:color w:val="231F20"/>
          <w:spacing w:val="2"/>
          <w:sz w:val="14"/>
        </w:rPr>
        <w:t>Okt</w:t>
      </w:r>
      <w:proofErr w:type="spellEnd"/>
      <w:r>
        <w:rPr>
          <w:rFonts w:ascii="Theinhardt Regular Italic"/>
          <w:i/>
          <w:color w:val="231F20"/>
          <w:spacing w:val="2"/>
          <w:sz w:val="14"/>
        </w:rPr>
        <w:t>.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-3"/>
          <w:sz w:val="14"/>
        </w:rPr>
        <w:t>2021,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1"/>
          <w:sz w:val="14"/>
        </w:rPr>
        <w:t>S.</w:t>
      </w:r>
      <w:r>
        <w:rPr>
          <w:rFonts w:ascii="Theinhardt Regular Italic"/>
          <w:i/>
          <w:color w:val="231F20"/>
          <w:sz w:val="14"/>
        </w:rPr>
        <w:t xml:space="preserve"> 6</w:t>
      </w:r>
    </w:p>
    <w:p w14:paraId="72AEAC3D" w14:textId="77777777" w:rsidR="00252704" w:rsidRDefault="00C51CE7">
      <w:pPr>
        <w:spacing w:before="75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pacing w:val="2"/>
          <w:sz w:val="14"/>
        </w:rPr>
        <w:t>Beteiligte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/>
          <w:b/>
          <w:color w:val="231F20"/>
          <w:spacing w:val="2"/>
          <w:sz w:val="14"/>
        </w:rPr>
        <w:t>Personen</w:t>
      </w:r>
      <w:proofErr w:type="spellEnd"/>
    </w:p>
    <w:p w14:paraId="3212A5C2" w14:textId="77777777" w:rsidR="00252704" w:rsidRDefault="0025270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106DD839" w14:textId="77777777" w:rsidR="00252704" w:rsidRDefault="00C51CE7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6DE2DCB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10CC6E4" w14:textId="77777777" w:rsidR="00252704" w:rsidRDefault="00C51CE7">
      <w:pPr>
        <w:spacing w:before="20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z w:val="14"/>
        </w:rPr>
        <w:t>Standort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proofErr w:type="spellEnd"/>
    </w:p>
    <w:p w14:paraId="4236FDE8" w14:textId="77777777" w:rsidR="00252704" w:rsidRDefault="00C51CE7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1"/>
          <w:sz w:val="14"/>
        </w:rPr>
        <w:t>Staumauer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Albigna</w:t>
      </w:r>
      <w:proofErr w:type="spellEnd"/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7603 </w:t>
      </w:r>
      <w:proofErr w:type="spellStart"/>
      <w:r>
        <w:rPr>
          <w:rFonts w:ascii="Theinhardt Regular"/>
          <w:color w:val="231F20"/>
          <w:spacing w:val="2"/>
          <w:sz w:val="14"/>
        </w:rPr>
        <w:t>Vicosoprano</w:t>
      </w:r>
      <w:proofErr w:type="spellEnd"/>
    </w:p>
    <w:p w14:paraId="52B78865" w14:textId="77777777" w:rsidR="00252704" w:rsidRDefault="00C51CE7">
      <w:pPr>
        <w:spacing w:before="55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Betreiber</w:t>
      </w:r>
      <w:proofErr w:type="spellEnd"/>
    </w:p>
    <w:p w14:paraId="65F85FBC" w14:textId="77777777" w:rsidR="00252704" w:rsidRDefault="00C51CE7">
      <w:pPr>
        <w:spacing w:before="6" w:line="207" w:lineRule="auto"/>
        <w:ind w:left="110" w:right="1068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hAnsi="Theinhardt Regular"/>
          <w:color w:val="231F20"/>
          <w:spacing w:val="2"/>
          <w:sz w:val="14"/>
        </w:rPr>
        <w:t>Elektrizitätswerk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Stadt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ewz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)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Tramstrasse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35,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8050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047D8F5C" w14:textId="77777777" w:rsidR="00252704" w:rsidRDefault="00C51CE7">
      <w:pPr>
        <w:spacing w:line="154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58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23</w:t>
      </w:r>
    </w:p>
    <w:p w14:paraId="5FF16AA7" w14:textId="77777777" w:rsidR="00252704" w:rsidRDefault="00C51CE7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hyperlink r:id="rId5">
        <w:r>
          <w:rPr>
            <w:rFonts w:ascii="Theinhardt Regular"/>
            <w:color w:val="231F20"/>
            <w:spacing w:val="1"/>
            <w:sz w:val="14"/>
          </w:rPr>
          <w:t>daniel.buergler@ewz.ch</w:t>
        </w:r>
      </w:hyperlink>
    </w:p>
    <w:p w14:paraId="4B956547" w14:textId="77777777" w:rsidR="00252704" w:rsidRDefault="00C51CE7">
      <w:pPr>
        <w:spacing w:before="55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Engineering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Fachbauleitung</w:t>
      </w:r>
      <w:proofErr w:type="spellEnd"/>
    </w:p>
    <w:p w14:paraId="3D5B421D" w14:textId="77777777" w:rsidR="00252704" w:rsidRDefault="00C51CE7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Reech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3"/>
          <w:sz w:val="14"/>
        </w:rPr>
        <w:t>Weststrasse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 xml:space="preserve"> 7205 </w:t>
      </w:r>
      <w:proofErr w:type="spellStart"/>
      <w:r>
        <w:rPr>
          <w:rFonts w:ascii="Theinhardt Regular"/>
          <w:color w:val="231F20"/>
          <w:spacing w:val="1"/>
          <w:sz w:val="14"/>
        </w:rPr>
        <w:t>Zizers</w:t>
      </w:r>
      <w:proofErr w:type="spellEnd"/>
      <w:r>
        <w:rPr>
          <w:rFonts w:ascii="Theinhardt Regular"/>
          <w:color w:val="231F20"/>
          <w:spacing w:val="1"/>
          <w:sz w:val="14"/>
        </w:rPr>
        <w:t>/GR</w:t>
      </w:r>
    </w:p>
    <w:p w14:paraId="71042CE5" w14:textId="77777777" w:rsidR="00252704" w:rsidRDefault="00C51CE7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748FB476">
          <v:group id="_x0000_s1026" style="position:absolute;left:0;text-align:left;margin-left:399.7pt;margin-top:13.4pt;width:167.25pt;height:.45pt;z-index:1192;mso-position-horizontal-relative:page" coordorigin="7994,268" coordsize="3345,9">
            <v:group id="_x0000_s1031" style="position:absolute;left:8015;top:273;width:3311;height:2" coordorigin="8015,273" coordsize="3311,2">
              <v:shape id="_x0000_s1032" style="position:absolute;left:8015;top:273;width:3311;height:2" coordorigin="8015,273" coordsize="3311,0" path="m8015,273r3311,e" filled="f" strokecolor="#231f20" strokeweight=".14994mm">
                <v:stroke dashstyle="dash"/>
                <v:path arrowok="t"/>
              </v:shape>
            </v:group>
            <v:group id="_x0000_s1029" style="position:absolute;left:7998;top:273;width:2;height:2" coordorigin="7998,273" coordsize="2,2">
              <v:shape id="_x0000_s1030" style="position:absolute;left:7998;top:273;width:2;height:2" coordorigin="7998,273" coordsize="0,0" path="m7998,273r,e" filled="f" strokecolor="#231f20" strokeweight=".14994mm">
                <v:path arrowok="t"/>
              </v:shape>
            </v:group>
            <v:group id="_x0000_s1027" style="position:absolute;left:11334;top:273;width:2;height:2" coordorigin="11334,273" coordsize="2,2">
              <v:shape id="_x0000_s1028" style="position:absolute;left:11334;top:273;width:2;height:2" coordorigin="11334,273" coordsize="0,0" path="m11334,273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325</w:t>
      </w:r>
      <w:r>
        <w:rPr>
          <w:rFonts w:ascii="Theinhardt Regular"/>
          <w:color w:val="231F20"/>
          <w:sz w:val="14"/>
        </w:rPr>
        <w:t xml:space="preserve"> 34 </w:t>
      </w:r>
      <w:r>
        <w:rPr>
          <w:rFonts w:ascii="Theinhardt Regular"/>
          <w:color w:val="231F20"/>
          <w:spacing w:val="-7"/>
          <w:sz w:val="14"/>
        </w:rPr>
        <w:t>11</w:t>
      </w:r>
      <w:hyperlink r:id="rId6">
        <w:r>
          <w:rPr>
            <w:rFonts w:ascii="Theinhardt Regular"/>
            <w:color w:val="231F20"/>
            <w:spacing w:val="-7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info@reech.ch</w:t>
        </w:r>
      </w:hyperlink>
    </w:p>
    <w:p w14:paraId="483B4FA4" w14:textId="77777777" w:rsidR="00252704" w:rsidRDefault="00252704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252704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6" w:space="116"/>
            <w:col w:w="3456" w:space="115"/>
            <w:col w:w="3587"/>
          </w:cols>
        </w:sectPr>
      </w:pPr>
    </w:p>
    <w:p w14:paraId="266B298F" w14:textId="77777777" w:rsidR="00252704" w:rsidRDefault="00252704">
      <w:pPr>
        <w:spacing w:before="5"/>
        <w:rPr>
          <w:rFonts w:ascii="Theinhardt Regular" w:eastAsia="Theinhardt Regular" w:hAnsi="Theinhardt Regular" w:cs="Theinhardt Regular"/>
        </w:rPr>
      </w:pPr>
    </w:p>
    <w:p w14:paraId="78262AC3" w14:textId="77777777" w:rsidR="00252704" w:rsidRDefault="00C51CE7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480B0C67" wp14:editId="6AE796DE">
            <wp:extent cx="6674762" cy="868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76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768B" w14:textId="77777777" w:rsidR="00252704" w:rsidRDefault="00C51CE7">
      <w:pPr>
        <w:spacing w:before="16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1627AE81" w14:textId="77777777" w:rsidR="00252704" w:rsidRDefault="00252704">
      <w:pPr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0B5E5605" w14:textId="77777777" w:rsidR="00252704" w:rsidRDefault="00C51CE7">
      <w:pPr>
        <w:tabs>
          <w:tab w:val="left" w:pos="7253"/>
        </w:tabs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/>
          <w:noProof/>
          <w:sz w:val="20"/>
        </w:rPr>
        <w:drawing>
          <wp:inline distT="0" distB="0" distL="0" distR="0" wp14:anchorId="5193BF7A" wp14:editId="2C259CD7">
            <wp:extent cx="4398817" cy="19019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81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  <w:tab/>
      </w:r>
      <w:r>
        <w:rPr>
          <w:rFonts w:ascii="Theinhardt Bold"/>
          <w:noProof/>
          <w:sz w:val="20"/>
        </w:rPr>
        <w:drawing>
          <wp:inline distT="0" distB="0" distL="0" distR="0" wp14:anchorId="39FE9EB3" wp14:editId="781B1483">
            <wp:extent cx="2126032" cy="18989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32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B869" w14:textId="77777777" w:rsidR="00252704" w:rsidRDefault="00C51CE7">
      <w:pPr>
        <w:tabs>
          <w:tab w:val="left" w:pos="7253"/>
        </w:tabs>
        <w:spacing w:before="11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b/>
          <w:color w:val="231F20"/>
          <w:sz w:val="14"/>
        </w:rPr>
        <w:tab/>
        <w:t>3</w:t>
      </w:r>
    </w:p>
    <w:p w14:paraId="2BAD6FA2" w14:textId="77777777" w:rsidR="00252704" w:rsidRDefault="00252704">
      <w:pPr>
        <w:rPr>
          <w:rFonts w:ascii="Theinhardt Bold" w:eastAsia="Theinhardt Bold" w:hAnsi="Theinhardt Bold" w:cs="Theinhardt Bold"/>
          <w:sz w:val="14"/>
          <w:szCs w:val="14"/>
        </w:rPr>
        <w:sectPr w:rsidR="00252704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37A06B60" w14:textId="77777777" w:rsidR="00252704" w:rsidRDefault="00252704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20440D54" w14:textId="77777777" w:rsidR="00252704" w:rsidRDefault="00C51CE7">
      <w:pPr>
        <w:numPr>
          <w:ilvl w:val="0"/>
          <w:numId w:val="1"/>
        </w:numPr>
        <w:tabs>
          <w:tab w:val="left" w:pos="338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0.41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MW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proofErr w:type="spellEnd"/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PV-Anlage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hat</w:t>
      </w:r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</w:t>
      </w:r>
      <w:proofErr w:type="spellEnd"/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Länge</w:t>
      </w:r>
      <w:proofErr w:type="spellEnd"/>
      <w:r>
        <w:rPr>
          <w:rFonts w:ascii="Theinhardt Bold" w:hAnsi="Theinhardt Bold"/>
          <w:b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von</w:t>
      </w:r>
      <w:r>
        <w:rPr>
          <w:rFonts w:ascii="Theinhardt Bold" w:hAnsi="Theinhardt Bold"/>
          <w:b/>
          <w:color w:val="231F20"/>
          <w:spacing w:val="2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670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Meter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erzeugt</w:t>
      </w:r>
      <w:proofErr w:type="spellEnd"/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jährlich</w:t>
      </w:r>
      <w:proofErr w:type="spellEnd"/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rund</w:t>
      </w:r>
      <w:proofErr w:type="spellEnd"/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0.5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GWh</w:t>
      </w:r>
      <w:r>
        <w:rPr>
          <w:rFonts w:ascii="Theinhardt Bold" w:hAnsi="Theinhardt Bold"/>
          <w:b/>
          <w:color w:val="231F20"/>
          <w:spacing w:val="29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oder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0.138% des </w:t>
      </w:r>
      <w:proofErr w:type="spellStart"/>
      <w:r>
        <w:rPr>
          <w:rFonts w:ascii="Theinhardt Bold" w:hAnsi="Theinhardt Bold"/>
          <w:b/>
          <w:color w:val="231F20"/>
          <w:sz w:val="14"/>
        </w:rPr>
        <w:t>ewz-Strombedarfs</w:t>
      </w:r>
      <w:proofErr w:type="spellEnd"/>
      <w:r>
        <w:rPr>
          <w:rFonts w:ascii="Theinhardt Bold" w:hAnsi="Theinhardt Bold"/>
          <w:b/>
          <w:color w:val="231F20"/>
          <w:sz w:val="14"/>
        </w:rPr>
        <w:t>.</w:t>
      </w:r>
    </w:p>
    <w:p w14:paraId="6DC025FB" w14:textId="77777777" w:rsidR="00252704" w:rsidRDefault="00C51CE7">
      <w:pPr>
        <w:spacing w:before="11"/>
        <w:rPr>
          <w:rFonts w:ascii="Theinhardt Bold" w:eastAsia="Theinhardt Bold" w:hAnsi="Theinhardt Bold" w:cs="Theinhardt Bold"/>
          <w:b/>
          <w:bCs/>
          <w:sz w:val="12"/>
          <w:szCs w:val="12"/>
        </w:rPr>
      </w:pPr>
      <w:r>
        <w:br w:type="column"/>
      </w:r>
    </w:p>
    <w:p w14:paraId="7F7DFF8C" w14:textId="77777777" w:rsidR="00252704" w:rsidRDefault="00C51CE7">
      <w:pPr>
        <w:numPr>
          <w:ilvl w:val="0"/>
          <w:numId w:val="1"/>
        </w:numPr>
        <w:tabs>
          <w:tab w:val="left" w:pos="338"/>
        </w:tabs>
        <w:spacing w:line="193" w:lineRule="auto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Mittels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4"/>
        </w:rPr>
        <w:t>Min.P</w:t>
      </w:r>
      <w:proofErr w:type="spellEnd"/>
      <w:r>
        <w:rPr>
          <w:rFonts w:ascii="Theinhardt Bold" w:hAnsi="Theinhardt Bold"/>
          <w:b/>
          <w:color w:val="231F20"/>
          <w:spacing w:val="-2"/>
          <w:sz w:val="14"/>
        </w:rPr>
        <w:t>/PEB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können</w:t>
      </w:r>
      <w:proofErr w:type="spellEnd"/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Stadtwerke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erheb</w:t>
      </w:r>
      <w:proofErr w:type="spellEnd"/>
      <w:r>
        <w:rPr>
          <w:rFonts w:ascii="Theinhardt Bold" w:hAnsi="Theinhardt Bold"/>
          <w:b/>
          <w:color w:val="231F20"/>
          <w:sz w:val="14"/>
        </w:rPr>
        <w:t>-</w:t>
      </w:r>
      <w:r>
        <w:rPr>
          <w:rFonts w:ascii="Theinhardt Bold" w:hAnsi="Theinhardt Bold"/>
          <w:b/>
          <w:color w:val="231F20"/>
          <w:spacing w:val="3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lich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mehr</w:t>
      </w:r>
      <w:proofErr w:type="spellEnd"/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Energieverluste</w:t>
      </w:r>
      <w:proofErr w:type="spellEnd"/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CO</w:t>
      </w:r>
      <w:r>
        <w:rPr>
          <w:rFonts w:ascii="Theinhardt Bold" w:hAns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-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Emissionen</w:t>
      </w:r>
      <w:proofErr w:type="spellEnd"/>
      <w:r>
        <w:rPr>
          <w:rFonts w:ascii="Theinhardt Bold" w:hAnsi="Theinhardt Bold"/>
          <w:b/>
          <w:color w:val="231F20"/>
          <w:spacing w:val="5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senken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und </w:t>
      </w:r>
      <w:proofErr w:type="spellStart"/>
      <w:r>
        <w:rPr>
          <w:rFonts w:ascii="Theinhardt Bold" w:hAnsi="Theinhardt Bold"/>
          <w:b/>
          <w:color w:val="231F20"/>
          <w:sz w:val="14"/>
        </w:rPr>
        <w:t>dazu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mehr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Solarstrom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erzeugen</w:t>
      </w:r>
      <w:proofErr w:type="spellEnd"/>
      <w:r>
        <w:rPr>
          <w:rFonts w:ascii="Theinhardt Bold" w:hAnsi="Theinhardt Bold"/>
          <w:b/>
          <w:color w:val="231F20"/>
          <w:spacing w:val="-1"/>
          <w:sz w:val="14"/>
        </w:rPr>
        <w:t>.</w:t>
      </w:r>
    </w:p>
    <w:p w14:paraId="1FC19752" w14:textId="77777777" w:rsidR="00252704" w:rsidRDefault="00C51CE7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60D6E932" w14:textId="77777777" w:rsidR="00252704" w:rsidRDefault="00C51CE7">
      <w:pPr>
        <w:numPr>
          <w:ilvl w:val="0"/>
          <w:numId w:val="1"/>
        </w:numPr>
        <w:tabs>
          <w:tab w:val="left" w:pos="338"/>
        </w:tabs>
        <w:spacing w:line="160" w:lineRule="exact"/>
        <w:ind w:right="124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verstärkte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um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78°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geneigte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Unterkons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3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truktion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sorgt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für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Stabilität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bei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extremen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Bedin-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gungen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auf 2’100 </w:t>
      </w:r>
      <w:proofErr w:type="spellStart"/>
      <w:proofErr w:type="gram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m.ü.M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..</w:t>
      </w:r>
      <w:proofErr w:type="gramEnd"/>
    </w:p>
    <w:p w14:paraId="2FBD1D26" w14:textId="77777777" w:rsidR="00252704" w:rsidRDefault="00252704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252704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6" w:space="110"/>
            <w:col w:w="3456" w:space="121"/>
            <w:col w:w="3587"/>
          </w:cols>
        </w:sectPr>
      </w:pPr>
    </w:p>
    <w:p w14:paraId="0514098F" w14:textId="77777777" w:rsidR="00252704" w:rsidRDefault="00252704">
      <w:pPr>
        <w:spacing w:before="10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6CBF62C0" w14:textId="77777777" w:rsidR="00252704" w:rsidRDefault="00C51CE7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83</w:t>
      </w:r>
    </w:p>
    <w:sectPr w:rsidR="00252704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AA8"/>
    <w:multiLevelType w:val="hybridMultilevel"/>
    <w:tmpl w:val="E9C85A1A"/>
    <w:lvl w:ilvl="0" w:tplc="FA681204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7346B342">
      <w:start w:val="1"/>
      <w:numFmt w:val="bullet"/>
      <w:lvlText w:val="•"/>
      <w:lvlJc w:val="left"/>
      <w:pPr>
        <w:ind w:left="649" w:hanging="227"/>
      </w:pPr>
      <w:rPr>
        <w:rFonts w:hint="default"/>
      </w:rPr>
    </w:lvl>
    <w:lvl w:ilvl="2" w:tplc="6310D064">
      <w:start w:val="1"/>
      <w:numFmt w:val="bullet"/>
      <w:lvlText w:val="•"/>
      <w:lvlJc w:val="left"/>
      <w:pPr>
        <w:ind w:left="960" w:hanging="227"/>
      </w:pPr>
      <w:rPr>
        <w:rFonts w:hint="default"/>
      </w:rPr>
    </w:lvl>
    <w:lvl w:ilvl="3" w:tplc="46A46A0C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 w:tplc="A7D4EF06">
      <w:start w:val="1"/>
      <w:numFmt w:val="bullet"/>
      <w:lvlText w:val="•"/>
      <w:lvlJc w:val="left"/>
      <w:pPr>
        <w:ind w:left="1584" w:hanging="227"/>
      </w:pPr>
      <w:rPr>
        <w:rFonts w:hint="default"/>
      </w:rPr>
    </w:lvl>
    <w:lvl w:ilvl="5" w:tplc="46E2D120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 w:tplc="752695BA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 w:tplc="70864982">
      <w:start w:val="1"/>
      <w:numFmt w:val="bullet"/>
      <w:lvlText w:val="•"/>
      <w:lvlJc w:val="left"/>
      <w:pPr>
        <w:ind w:left="2520" w:hanging="227"/>
      </w:pPr>
      <w:rPr>
        <w:rFonts w:hint="default"/>
      </w:rPr>
    </w:lvl>
    <w:lvl w:ilvl="8" w:tplc="9408853C">
      <w:start w:val="1"/>
      <w:numFmt w:val="bullet"/>
      <w:lvlText w:val="•"/>
      <w:lvlJc w:val="left"/>
      <w:pPr>
        <w:ind w:left="283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704"/>
    <w:rsid w:val="00252704"/>
    <w:rsid w:val="00C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3D02CB74"/>
  <w15:docId w15:val="{07FDEA86-76F2-4FEA-AF3C-EFD123C7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"/>
      <w:ind w:left="110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2"/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ech.c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.buergler@ewz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2021-10-19T13:56:00Z</dcterms:created>
  <dcterms:modified xsi:type="dcterms:W3CDTF">2021-10-19T11:56:00Z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