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AEE99" w14:textId="77777777" w:rsidR="0047286C" w:rsidRDefault="009D154F">
      <w:pPr>
        <w:tabs>
          <w:tab w:val="left" w:pos="2569"/>
        </w:tabs>
        <w:spacing w:before="28" w:line="230" w:lineRule="exact"/>
        <w:ind w:left="130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pict w14:anchorId="1ABB4857">
          <v:group id="_x0000_s1059" style="position:absolute;left:0;text-align:left;margin-left:42.75pt;margin-top:13.65pt;width:.1pt;height:.1pt;z-index:-9208;mso-position-horizontal-relative:page" coordorigin="855,273" coordsize="2,2">
            <v:shape id="_x0000_s1060" style="position:absolute;left:855;top:273;width:2;height:2" coordorigin="855,273" coordsize="0,0" path="m855,273r,e" filled="f" strokecolor="#231f20" strokeweight=".14994mm">
              <v:path arrowok="t"/>
            </v:shape>
            <w10:wrap anchorx="page"/>
          </v:group>
        </w:pict>
      </w:r>
      <w:r>
        <w:pict w14:anchorId="1DD2EADA">
          <v:group id="_x0000_s1057" style="position:absolute;left:0;text-align:left;margin-left:164.9pt;margin-top:13.65pt;width:.1pt;height:.1pt;z-index:1120;mso-position-horizontal-relative:page" coordorigin="3298,273" coordsize="2,2">
            <v:shape id="_x0000_s1058" style="position:absolute;left:3298;top:273;width:2;height:2" coordorigin="3298,273" coordsize="0,0" path="m3298,273r,e" filled="f" strokecolor="#231f20" strokeweight=".14994mm">
              <v:path arrowok="t"/>
            </v:shape>
            <w10:wrap anchorx="page"/>
          </v:group>
        </w:pict>
      </w:r>
      <w:r>
        <w:pict w14:anchorId="3F887E58">
          <v:group id="_x0000_s1055" style="position:absolute;left:0;text-align:left;margin-left:42.75pt;margin-top:25.15pt;width:.1pt;height:.1pt;z-index:-9160;mso-position-horizontal-relative:page" coordorigin="855,503" coordsize="2,2">
            <v:shape id="_x0000_s1056" style="position:absolute;left:855;top:503;width:2;height:2" coordorigin="855,503" coordsize="0,0" path="m855,503r,e" filled="f" strokecolor="#231f20" strokeweight=".14994mm">
              <v:path arrowok="t"/>
            </v:shape>
            <w10:wrap anchorx="page"/>
          </v:group>
        </w:pict>
      </w:r>
      <w:r>
        <w:pict w14:anchorId="7263C4F1">
          <v:group id="_x0000_s1053" style="position:absolute;left:0;text-align:left;margin-left:164.9pt;margin-top:25.15pt;width:.1pt;height:.1pt;z-index:1168;mso-position-horizontal-relative:page" coordorigin="3298,503" coordsize="2,2">
            <v:shape id="_x0000_s1054" style="position:absolute;left:3298;top:503;width:2;height:2" coordorigin="3298,503" coordsize="0,0" path="m3298,503r,e" filled="f" strokecolor="#231f20" strokeweight=".14994mm">
              <v:path arrowok="t"/>
            </v:shape>
            <w10:wrap anchorx="page"/>
          </v:group>
        </w:pict>
      </w:r>
      <w:r>
        <w:pict w14:anchorId="78873C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left:0;text-align:left;margin-left:43.15pt;margin-top:52.4pt;width:82.2pt;height:58.3pt;z-index:1192;mso-position-horizontal-relative:page">
            <v:imagedata r:id="rId5" o:title=""/>
            <w10:wrap anchorx="page"/>
          </v:shape>
        </w:pic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 w:hAnsi="Theinhardt Black"/>
          <w:b/>
          <w:color w:val="231F20"/>
          <w:spacing w:val="-1"/>
          <w:sz w:val="18"/>
          <w:u w:val="dotted" w:color="231F20"/>
        </w:rPr>
        <w:t xml:space="preserve"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 xml:space="preserve">B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ab/>
      </w:r>
      <w:r>
        <w:rPr>
          <w:rFonts w:ascii="Theinhardt Black" w:hAnsi="Theinhardt Black"/>
          <w:b/>
          <w:color w:val="231F20"/>
          <w:spacing w:val="25"/>
          <w:sz w:val="18"/>
        </w:rPr>
        <w:t xml:space="preserve"> </w: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 xml:space="preserve"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ab/>
      </w:r>
      <w:r>
        <w:rPr>
          <w:rFonts w:ascii="Theinhardt Black" w:hAnsi="Theinhardt Black"/>
          <w:b/>
          <w:color w:val="231F20"/>
          <w:spacing w:val="22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PlusEnergieBau</w:t>
      </w:r>
      <w:r>
        <w:rPr>
          <w:rFonts w:ascii="Theinhardt Regular" w:hAnsi="Theinhardt Regular"/>
          <w:color w:val="231F20"/>
          <w:spacing w:val="-1"/>
          <w:position w:val="6"/>
          <w:sz w:val="10"/>
        </w:rPr>
        <w:t>®</w:t>
      </w:r>
      <w:r>
        <w:rPr>
          <w:rFonts w:ascii="Theinhardt Regular" w:hAnsi="Theinhardt Regular"/>
          <w:color w:val="231F20"/>
          <w:spacing w:val="-1"/>
          <w:sz w:val="18"/>
        </w:rPr>
        <w:t>-Diplom</w:t>
      </w:r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2021</w:t>
      </w:r>
    </w:p>
    <w:p w14:paraId="27C0387A" w14:textId="77777777" w:rsidR="0047286C" w:rsidRDefault="009D154F">
      <w:pPr>
        <w:pStyle w:val="Textkrper"/>
        <w:spacing w:before="28" w:line="230" w:lineRule="exact"/>
        <w:ind w:right="158"/>
        <w:jc w:val="both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231F20"/>
        </w:rPr>
        <w:t>Das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1930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erstellte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EFH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Steffisburg/BE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wurde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vollständig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saniert.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Luft-Wasser-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-1"/>
        </w:rPr>
        <w:t>Wärmepumpe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ersetzte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Ölheizung.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Durch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bessere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Dämmung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effiziente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Haustechnik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sank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Energiebedarf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85%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62’900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kWh/a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9'500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kWh/a.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12"/>
        </w:rPr>
        <w:t xml:space="preserve"> </w:t>
      </w:r>
      <w:r>
        <w:rPr>
          <w:color w:val="383638"/>
          <w:spacing w:val="-1"/>
        </w:rPr>
        <w:t>m</w:t>
      </w:r>
      <w:r>
        <w:rPr>
          <w:color w:val="383638"/>
          <w:spacing w:val="-1"/>
          <w:position w:val="6"/>
          <w:sz w:val="10"/>
          <w:szCs w:val="10"/>
        </w:rPr>
        <w:t>2</w:t>
      </w:r>
      <w:r>
        <w:rPr>
          <w:color w:val="383638"/>
          <w:spacing w:val="6"/>
          <w:position w:val="6"/>
          <w:sz w:val="10"/>
          <w:szCs w:val="10"/>
        </w:rPr>
        <w:t xml:space="preserve"> </w:t>
      </w:r>
      <w:r>
        <w:rPr>
          <w:color w:val="231F20"/>
          <w:spacing w:val="-1"/>
        </w:rPr>
        <w:t>grosse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solar-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thermische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Anlage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14.6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starke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PV-Anlage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produzieren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jährlich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15’800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kWh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Energie.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Dadurch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verfügt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Haus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Eigenenergieversorgung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166%.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dem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Solarstrom-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überschuss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6’300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kWh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könnten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E-Autos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jährlich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12’000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emissionsfrei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fahren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und</w:t>
      </w:r>
    </w:p>
    <w:p w14:paraId="14437272" w14:textId="77777777" w:rsidR="0047286C" w:rsidRDefault="009D154F">
      <w:pPr>
        <w:pStyle w:val="Textkrper"/>
        <w:jc w:val="both"/>
        <w:rPr>
          <w:b w:val="0"/>
          <w:bCs w:val="0"/>
        </w:rPr>
      </w:pPr>
      <w:r>
        <w:rPr>
          <w:color w:val="231F20"/>
        </w:rPr>
        <w:t>12.9 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position w:val="-5"/>
          <w:sz w:val="10"/>
        </w:rPr>
        <w:t>2</w:t>
      </w:r>
      <w:r>
        <w:rPr>
          <w:color w:val="231F20"/>
        </w:rPr>
        <w:t>-Emissionen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vermeiden.</w:t>
      </w:r>
    </w:p>
    <w:p w14:paraId="7A8A35E2" w14:textId="77777777" w:rsidR="0047286C" w:rsidRDefault="0047286C">
      <w:pPr>
        <w:jc w:val="both"/>
        <w:sectPr w:rsidR="0047286C">
          <w:type w:val="continuous"/>
          <w:pgSz w:w="11910" w:h="16840"/>
          <w:pgMar w:top="840" w:right="400" w:bottom="280" w:left="720" w:header="720" w:footer="720" w:gutter="0"/>
          <w:cols w:num="2" w:space="720" w:equalWidth="0">
            <w:col w:w="2570" w:space="108"/>
            <w:col w:w="8112"/>
          </w:cols>
        </w:sectPr>
      </w:pPr>
    </w:p>
    <w:p w14:paraId="23422154" w14:textId="77777777" w:rsidR="0047286C" w:rsidRDefault="0047286C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B0561AB" w14:textId="77777777" w:rsidR="0047286C" w:rsidRDefault="0047286C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E3796C0" w14:textId="77777777" w:rsidR="0047286C" w:rsidRDefault="0047286C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59EF56D" w14:textId="77777777" w:rsidR="0047286C" w:rsidRDefault="0047286C">
      <w:pPr>
        <w:spacing w:before="10"/>
        <w:rPr>
          <w:rFonts w:ascii="Theinhardt Bold" w:eastAsia="Theinhardt Bold" w:hAnsi="Theinhardt Bold" w:cs="Theinhardt Bold"/>
          <w:b/>
          <w:bCs/>
          <w:sz w:val="19"/>
          <w:szCs w:val="19"/>
        </w:rPr>
      </w:pPr>
    </w:p>
    <w:p w14:paraId="4E3A40D8" w14:textId="77777777" w:rsidR="0047286C" w:rsidRDefault="009D154F">
      <w:pPr>
        <w:spacing w:before="5"/>
        <w:ind w:left="142"/>
        <w:rPr>
          <w:rFonts w:ascii="Theinhardt Black" w:eastAsia="Theinhardt Black" w:hAnsi="Theinhardt Black" w:cs="Theinhardt Black"/>
          <w:sz w:val="40"/>
          <w:szCs w:val="40"/>
        </w:rPr>
      </w:pPr>
      <w:r>
        <w:pict w14:anchorId="772D8F54">
          <v:group id="_x0000_s1045" style="position:absolute;left:0;text-align:left;margin-left:399.7pt;margin-top:55.8pt;width:167.25pt;height:.45pt;z-index:-9064;mso-position-horizontal-relative:page" coordorigin="7994,1116" coordsize="3345,9">
            <v:group id="_x0000_s1050" style="position:absolute;left:8015;top:1120;width:3311;height:2" coordorigin="8015,1120" coordsize="3311,2">
              <v:shape id="_x0000_s1051" style="position:absolute;left:8015;top:1120;width:3311;height:2" coordorigin="8015,1120" coordsize="3311,0" path="m8015,1120r3311,e" filled="f" strokecolor="#231f20" strokeweight=".14994mm">
                <v:stroke dashstyle="dash"/>
                <v:path arrowok="t"/>
              </v:shape>
            </v:group>
            <v:group id="_x0000_s1048" style="position:absolute;left:7998;top:1120;width:2;height:2" coordorigin="7998,1120" coordsize="2,2">
              <v:shape id="_x0000_s1049" style="position:absolute;left:7998;top:1120;width:2;height:2" coordorigin="7998,1120" coordsize="0,0" path="m7998,1120r,e" filled="f" strokecolor="#231f20" strokeweight=".14994mm">
                <v:path arrowok="t"/>
              </v:shape>
            </v:group>
            <v:group id="_x0000_s1046" style="position:absolute;left:11334;top:1120;width:2;height:2" coordorigin="11334,1120" coordsize="2,2">
              <v:shape id="_x0000_s1047" style="position:absolute;left:11334;top:1120;width:2;height:2" coordorigin="11334,1120" coordsize="0,0" path="m11334,1120r,e" filled="f" strokecolor="#231f20" strokeweight=".14994mm">
                <v:path arrowok="t"/>
              </v:shape>
            </v:group>
            <w10:wrap anchorx="page"/>
          </v:group>
        </w:pict>
      </w:r>
      <w:r>
        <w:rPr>
          <w:rFonts w:ascii="Theinhardt Black"/>
          <w:b/>
          <w:color w:val="0067B1"/>
          <w:sz w:val="40"/>
        </w:rPr>
        <w:t>166%</w:t>
      </w:r>
      <w:r>
        <w:rPr>
          <w:rFonts w:ascii="Theinhardt Black"/>
          <w:b/>
          <w:color w:val="0067B1"/>
          <w:spacing w:val="-1"/>
          <w:sz w:val="40"/>
        </w:rPr>
        <w:t xml:space="preserve"> </w:t>
      </w:r>
      <w:r>
        <w:rPr>
          <w:rFonts w:ascii="Theinhardt Black"/>
          <w:b/>
          <w:color w:val="0067B1"/>
          <w:spacing w:val="-2"/>
          <w:sz w:val="40"/>
        </w:rPr>
        <w:t>PEB</w:t>
      </w:r>
      <w:r>
        <w:rPr>
          <w:rFonts w:ascii="Theinhardt Black"/>
          <w:b/>
          <w:color w:val="0067B1"/>
          <w:spacing w:val="-1"/>
          <w:sz w:val="40"/>
        </w:rPr>
        <w:t xml:space="preserve"> </w:t>
      </w:r>
      <w:r>
        <w:rPr>
          <w:rFonts w:ascii="Theinhardt Black"/>
          <w:b/>
          <w:color w:val="0067B1"/>
          <w:spacing w:val="-2"/>
          <w:sz w:val="40"/>
        </w:rPr>
        <w:t>EFH</w:t>
      </w:r>
      <w:r>
        <w:rPr>
          <w:rFonts w:ascii="Theinhardt Black"/>
          <w:b/>
          <w:color w:val="0067B1"/>
          <w:sz w:val="40"/>
        </w:rPr>
        <w:t xml:space="preserve"> </w:t>
      </w:r>
      <w:r>
        <w:rPr>
          <w:rFonts w:ascii="Theinhardt Black"/>
          <w:b/>
          <w:color w:val="0067B1"/>
          <w:spacing w:val="6"/>
          <w:sz w:val="40"/>
        </w:rPr>
        <w:t>Sc</w:t>
      </w:r>
      <w:r>
        <w:rPr>
          <w:rFonts w:ascii="Theinhardt Black"/>
          <w:b/>
          <w:color w:val="0067B1"/>
          <w:spacing w:val="1"/>
          <w:sz w:val="40"/>
        </w:rPr>
        <w:t>hn</w:t>
      </w:r>
      <w:r>
        <w:rPr>
          <w:rFonts w:ascii="Theinhardt Black"/>
          <w:b/>
          <w:color w:val="0067B1"/>
          <w:spacing w:val="2"/>
          <w:sz w:val="40"/>
        </w:rPr>
        <w:t>eide</w:t>
      </w:r>
      <w:r>
        <w:rPr>
          <w:rFonts w:ascii="Theinhardt Black"/>
          <w:b/>
          <w:color w:val="0067B1"/>
          <w:spacing w:val="-24"/>
          <w:sz w:val="40"/>
        </w:rPr>
        <w:t>r</w:t>
      </w:r>
      <w:r>
        <w:rPr>
          <w:rFonts w:ascii="Theinhardt Black"/>
          <w:b/>
          <w:color w:val="0067B1"/>
          <w:sz w:val="40"/>
        </w:rPr>
        <w:t>,</w:t>
      </w:r>
      <w:r>
        <w:rPr>
          <w:rFonts w:ascii="Theinhardt Black"/>
          <w:b/>
          <w:color w:val="0067B1"/>
          <w:spacing w:val="-25"/>
          <w:sz w:val="40"/>
        </w:rPr>
        <w:t xml:space="preserve"> </w:t>
      </w:r>
      <w:r>
        <w:rPr>
          <w:rFonts w:ascii="Theinhardt Black"/>
          <w:b/>
          <w:color w:val="0067B1"/>
          <w:sz w:val="40"/>
        </w:rPr>
        <w:t xml:space="preserve">3613 </w:t>
      </w:r>
      <w:r>
        <w:rPr>
          <w:rFonts w:ascii="Theinhardt Black"/>
          <w:b/>
          <w:color w:val="0067B1"/>
          <w:spacing w:val="6"/>
          <w:sz w:val="40"/>
        </w:rPr>
        <w:t>Steffisburg/BE</w:t>
      </w:r>
    </w:p>
    <w:p w14:paraId="2BD68E0A" w14:textId="77777777" w:rsidR="0047286C" w:rsidRDefault="0047286C">
      <w:pPr>
        <w:spacing w:before="5"/>
        <w:rPr>
          <w:rFonts w:ascii="Theinhardt Black" w:eastAsia="Theinhardt Black" w:hAnsi="Theinhardt Black" w:cs="Theinhardt Black"/>
          <w:b/>
          <w:bCs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3498"/>
        <w:gridCol w:w="3558"/>
        <w:gridCol w:w="1024"/>
        <w:gridCol w:w="659"/>
        <w:gridCol w:w="605"/>
        <w:gridCol w:w="339"/>
        <w:gridCol w:w="883"/>
      </w:tblGrid>
      <w:tr w:rsidR="0047286C" w14:paraId="58EB27F2" w14:textId="77777777">
        <w:trPr>
          <w:trHeight w:hRule="exact" w:val="528"/>
        </w:trPr>
        <w:tc>
          <w:tcPr>
            <w:tcW w:w="1056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113DADD" w14:textId="77777777" w:rsidR="0047286C" w:rsidRDefault="009D154F">
            <w:pPr>
              <w:pStyle w:val="TableParagraph"/>
              <w:tabs>
                <w:tab w:val="left" w:pos="3611"/>
                <w:tab w:val="left" w:pos="7169"/>
              </w:tabs>
              <w:spacing w:before="69" w:line="245" w:lineRule="exact"/>
              <w:ind w:left="54"/>
              <w:rPr>
                <w:rFonts w:ascii="Theinhardt Black" w:eastAsia="Theinhardt Black" w:hAnsi="Theinhardt Black" w:cs="Theinhardt Black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1"/>
                <w:sz w:val="18"/>
              </w:rPr>
              <w:t>Das</w:t>
            </w:r>
            <w:r>
              <w:rPr>
                <w:rFonts w:ascii="Theinhardt Regular" w:hAnsi="Theinhardt Regular"/>
                <w:color w:val="231F20"/>
                <w:spacing w:val="-23"/>
                <w:sz w:val="18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pacing w:val="-2"/>
                <w:sz w:val="18"/>
              </w:rPr>
              <w:t>EFH</w:t>
            </w:r>
            <w:r>
              <w:rPr>
                <w:rFonts w:ascii="Theinhardt Regular" w:hAnsi="Theinhardt Regular"/>
                <w:color w:val="231F20"/>
                <w:spacing w:val="-22"/>
                <w:sz w:val="18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z w:val="18"/>
              </w:rPr>
              <w:t>der</w:t>
            </w:r>
            <w:r>
              <w:rPr>
                <w:rFonts w:ascii="Theinhardt Regular" w:hAnsi="Theinhardt Regular"/>
                <w:color w:val="231F20"/>
                <w:spacing w:val="-22"/>
                <w:sz w:val="18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pacing w:val="-1"/>
                <w:sz w:val="18"/>
              </w:rPr>
              <w:t>Familie</w:t>
            </w:r>
            <w:r>
              <w:rPr>
                <w:rFonts w:ascii="Theinhardt Regular" w:hAnsi="Theinhardt Regular"/>
                <w:color w:val="231F20"/>
                <w:spacing w:val="-23"/>
                <w:sz w:val="18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z w:val="18"/>
              </w:rPr>
              <w:t>Schneider</w:t>
            </w:r>
            <w:r>
              <w:rPr>
                <w:rFonts w:ascii="Theinhardt Regular" w:hAnsi="Theinhardt Regular"/>
                <w:color w:val="231F20"/>
                <w:spacing w:val="-22"/>
                <w:sz w:val="18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pacing w:val="-2"/>
                <w:sz w:val="18"/>
              </w:rPr>
              <w:t>konnte</w:t>
            </w:r>
            <w:r>
              <w:rPr>
                <w:rFonts w:ascii="Theinhardt Regular" w:hAnsi="Theinhardt Regular"/>
                <w:color w:val="231F20"/>
                <w:spacing w:val="-22"/>
                <w:sz w:val="18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pacing w:val="-2"/>
                <w:sz w:val="18"/>
              </w:rPr>
              <w:t>durch</w:t>
            </w:r>
            <w:r>
              <w:rPr>
                <w:rFonts w:ascii="Theinhardt Regular" w:hAnsi="Theinhardt Regular"/>
                <w:color w:val="231F20"/>
                <w:spacing w:val="-2"/>
                <w:sz w:val="18"/>
              </w:rPr>
              <w:tab/>
            </w:r>
            <w:r>
              <w:rPr>
                <w:rFonts w:ascii="Theinhardt Regular Italic" w:hAnsi="Theinhardt Regular Italic"/>
                <w:i/>
                <w:color w:val="231F20"/>
                <w:spacing w:val="1"/>
                <w:sz w:val="18"/>
              </w:rPr>
              <w:t>Datant</w:t>
            </w:r>
            <w:r>
              <w:rPr>
                <w:rFonts w:ascii="Theinhardt Regular Italic" w:hAnsi="Theinhardt Regular Italic"/>
                <w:i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pacing w:val="-2"/>
                <w:sz w:val="18"/>
              </w:rPr>
              <w:t>de</w:t>
            </w:r>
            <w:r>
              <w:rPr>
                <w:rFonts w:ascii="Theinhardt Regular Italic" w:hAnsi="Theinhardt Regular Italic"/>
                <w:i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1930,</w:t>
            </w:r>
            <w:r>
              <w:rPr>
                <w:rFonts w:ascii="Theinhardt Regular Italic" w:hAnsi="Theinhardt Regular Italic"/>
                <w:i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la</w:t>
            </w:r>
            <w:r>
              <w:rPr>
                <w:rFonts w:ascii="Theinhardt Regular Italic" w:hAnsi="Theinhardt Regular Italic"/>
                <w:i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villa</w:t>
            </w:r>
            <w:r>
              <w:rPr>
                <w:rFonts w:ascii="Theinhardt Regular Italic" w:hAnsi="Theinhardt Regular Italic"/>
                <w:i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pacing w:val="-3"/>
                <w:sz w:val="18"/>
              </w:rPr>
              <w:t>Schneider,</w:t>
            </w:r>
            <w:r>
              <w:rPr>
                <w:rFonts w:ascii="Theinhardt Regular Italic" w:hAnsi="Theinhardt Regular Italic"/>
                <w:i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à</w:t>
            </w:r>
            <w:r>
              <w:rPr>
                <w:rFonts w:ascii="Theinhardt Regular Italic" w:hAnsi="Theinhardt Regular Italic"/>
                <w:i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pacing w:val="-2"/>
                <w:sz w:val="18"/>
              </w:rPr>
              <w:t>Stef-</w:t>
            </w:r>
            <w:r>
              <w:rPr>
                <w:rFonts w:ascii="Theinhardt Regular Italic" w:hAnsi="Theinhardt Regular Italic"/>
                <w:i/>
                <w:color w:val="231F20"/>
                <w:spacing w:val="-2"/>
                <w:sz w:val="18"/>
              </w:rPr>
              <w:tab/>
            </w:r>
            <w:r>
              <w:rPr>
                <w:rFonts w:ascii="Theinhardt Black" w:hAnsi="Theinhardt Black"/>
                <w:b/>
                <w:color w:val="231F20"/>
                <w:position w:val="5"/>
                <w:sz w:val="14"/>
              </w:rPr>
              <w:t xml:space="preserve">Technische </w:t>
            </w:r>
            <w:r>
              <w:rPr>
                <w:rFonts w:ascii="Theinhardt Black" w:hAnsi="Theinhardt Black"/>
                <w:b/>
                <w:color w:val="231F20"/>
                <w:spacing w:val="1"/>
                <w:position w:val="5"/>
                <w:sz w:val="14"/>
              </w:rPr>
              <w:t>Daten</w:t>
            </w:r>
          </w:p>
          <w:p w14:paraId="51C04A31" w14:textId="77777777" w:rsidR="0047286C" w:rsidRDefault="009D154F">
            <w:pPr>
              <w:pStyle w:val="TableParagraph"/>
              <w:tabs>
                <w:tab w:val="left" w:pos="3611"/>
                <w:tab w:val="left" w:pos="7169"/>
              </w:tabs>
              <w:spacing w:line="214" w:lineRule="exact"/>
              <w:ind w:left="54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z w:val="18"/>
              </w:rPr>
              <w:t>die</w:t>
            </w:r>
            <w:r>
              <w:rPr>
                <w:rFonts w:ascii="Theinhardt Regular" w:hAnsi="Theinhardt Regular"/>
                <w:color w:val="231F20"/>
                <w:spacing w:val="19"/>
                <w:sz w:val="18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z w:val="18"/>
              </w:rPr>
              <w:t>Sanierung</w:t>
            </w:r>
            <w:r>
              <w:rPr>
                <w:rFonts w:ascii="Theinhardt Regular" w:hAnsi="Theinhardt Regular"/>
                <w:color w:val="231F20"/>
                <w:spacing w:val="20"/>
                <w:sz w:val="18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z w:val="18"/>
              </w:rPr>
              <w:t>2020</w:t>
            </w:r>
            <w:r>
              <w:rPr>
                <w:rFonts w:ascii="Theinhardt Regular" w:hAnsi="Theinhardt Regular"/>
                <w:color w:val="231F20"/>
                <w:spacing w:val="20"/>
                <w:sz w:val="18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pacing w:val="-1"/>
                <w:sz w:val="18"/>
              </w:rPr>
              <w:t>seinen</w:t>
            </w:r>
            <w:r>
              <w:rPr>
                <w:rFonts w:ascii="Theinhardt Regular" w:hAnsi="Theinhardt Regular"/>
                <w:color w:val="231F20"/>
                <w:spacing w:val="20"/>
                <w:sz w:val="18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pacing w:val="-1"/>
                <w:sz w:val="18"/>
              </w:rPr>
              <w:t>Energiebedarf</w:t>
            </w:r>
            <w:r>
              <w:rPr>
                <w:rFonts w:ascii="Theinhardt Regular" w:hAnsi="Theinhardt Regular"/>
                <w:color w:val="231F20"/>
                <w:spacing w:val="-1"/>
                <w:sz w:val="18"/>
              </w:rPr>
              <w:tab/>
            </w:r>
            <w:r>
              <w:rPr>
                <w:rFonts w:ascii="Theinhardt Regular Italic" w:hAnsi="Theinhardt Regular Italic"/>
                <w:i/>
                <w:color w:val="231F20"/>
                <w:spacing w:val="-1"/>
                <w:sz w:val="18"/>
              </w:rPr>
              <w:t>fisburg</w:t>
            </w:r>
            <w:r>
              <w:rPr>
                <w:rFonts w:ascii="Theinhardt Regular Italic" w:hAnsi="Theinhardt Regular Italic"/>
                <w:i/>
                <w:color w:val="231F20"/>
                <w:spacing w:val="41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pacing w:val="-1"/>
                <w:sz w:val="18"/>
              </w:rPr>
              <w:t>(BE),</w:t>
            </w:r>
            <w:r>
              <w:rPr>
                <w:rFonts w:ascii="Theinhardt Regular Italic" w:hAnsi="Theinhardt Regular Italic"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a</w:t>
            </w:r>
            <w:r>
              <w:rPr>
                <w:rFonts w:ascii="Theinhardt Regular Italic" w:hAnsi="Theinhardt Regular Italic"/>
                <w:i/>
                <w:color w:val="231F20"/>
                <w:spacing w:val="41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pacing w:val="-2"/>
                <w:sz w:val="18"/>
              </w:rPr>
              <w:t>été</w:t>
            </w:r>
            <w:r>
              <w:rPr>
                <w:rFonts w:ascii="Theinhardt Regular Italic" w:hAnsi="Theinhardt Regular Italic"/>
                <w:i/>
                <w:color w:val="231F20"/>
                <w:spacing w:val="40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pacing w:val="-2"/>
                <w:sz w:val="18"/>
              </w:rPr>
              <w:t>complètement</w:t>
            </w:r>
            <w:r>
              <w:rPr>
                <w:rFonts w:ascii="Theinhardt Regular Italic" w:hAnsi="Theinhardt Regular Italic"/>
                <w:i/>
                <w:color w:val="231F20"/>
                <w:spacing w:val="41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pacing w:val="-1"/>
                <w:sz w:val="18"/>
              </w:rPr>
              <w:t>assainie</w:t>
            </w:r>
            <w:r>
              <w:rPr>
                <w:rFonts w:ascii="Theinhardt Regular Italic" w:hAnsi="Theinhardt Regular Italic"/>
                <w:i/>
                <w:color w:val="231F20"/>
                <w:spacing w:val="-1"/>
                <w:sz w:val="18"/>
              </w:rPr>
              <w:tab/>
            </w:r>
            <w:r>
              <w:rPr>
                <w:rFonts w:ascii="Theinhardt Bold" w:hAnsi="Theinhardt Bold"/>
                <w:b/>
                <w:color w:val="231F20"/>
                <w:position w:val="1"/>
                <w:sz w:val="14"/>
              </w:rPr>
              <w:t>Wärmedämmung</w:t>
            </w:r>
          </w:p>
        </w:tc>
      </w:tr>
      <w:tr w:rsidR="0047286C" w14:paraId="09E89D33" w14:textId="77777777">
        <w:trPr>
          <w:trHeight w:hRule="exact" w:val="151"/>
        </w:trPr>
        <w:tc>
          <w:tcPr>
            <w:tcW w:w="80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684934" w14:textId="77777777" w:rsidR="0047286C" w:rsidRDefault="009D154F">
            <w:pPr>
              <w:pStyle w:val="TableParagraph"/>
              <w:tabs>
                <w:tab w:val="left" w:pos="3611"/>
                <w:tab w:val="left" w:pos="7169"/>
              </w:tabs>
              <w:spacing w:line="151" w:lineRule="exact"/>
              <w:ind w:left="5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z w:val="18"/>
              </w:rPr>
              <w:t>um</w:t>
            </w:r>
            <w:r>
              <w:rPr>
                <w:rFonts w:ascii="Theinhardt Regular" w:hAnsi="Theinhardt Regular"/>
                <w:color w:val="231F20"/>
                <w:spacing w:val="6"/>
                <w:sz w:val="18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z w:val="18"/>
              </w:rPr>
              <w:t>85%</w:t>
            </w:r>
            <w:r>
              <w:rPr>
                <w:rFonts w:ascii="Theinhardt Regular" w:hAnsi="Theinhardt Regular"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pacing w:val="-2"/>
                <w:sz w:val="18"/>
              </w:rPr>
              <w:t>reduzieren.</w:t>
            </w:r>
            <w:r>
              <w:rPr>
                <w:rFonts w:ascii="Theinhardt Regular" w:hAnsi="Theinhardt Regular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pacing w:val="-1"/>
                <w:sz w:val="18"/>
              </w:rPr>
              <w:t>Durch</w:t>
            </w:r>
            <w:r>
              <w:rPr>
                <w:rFonts w:ascii="Theinhardt Regular" w:hAnsi="Theinhardt Regular"/>
                <w:color w:val="231F20"/>
                <w:spacing w:val="6"/>
                <w:sz w:val="18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z w:val="18"/>
              </w:rPr>
              <w:t>das</w:t>
            </w:r>
            <w:r>
              <w:rPr>
                <w:rFonts w:ascii="Theinhardt Regular" w:hAnsi="Theinhardt Regular"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z w:val="18"/>
              </w:rPr>
              <w:t>intelligente</w:t>
            </w:r>
            <w:r>
              <w:rPr>
                <w:rFonts w:ascii="Theinhardt Regular" w:hAnsi="Theinhardt Regular"/>
                <w:color w:val="231F20"/>
                <w:sz w:val="18"/>
              </w:rPr>
              <w:tab/>
            </w:r>
            <w:proofErr w:type="gramStart"/>
            <w:r>
              <w:rPr>
                <w:rFonts w:ascii="Theinhardt Regular Italic" w:hAnsi="Theinhardt Regular Italic"/>
                <w:i/>
                <w:color w:val="231F20"/>
                <w:spacing w:val="-1"/>
                <w:sz w:val="18"/>
              </w:rPr>
              <w:t>en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2020</w:t>
            </w:r>
            <w:proofErr w:type="gramEnd"/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.</w:t>
            </w:r>
            <w:r>
              <w:rPr>
                <w:rFonts w:ascii="Theinhardt Regular Italic" w:hAnsi="Theinhardt Regular Italic"/>
                <w:i/>
                <w:color w:val="231F20"/>
                <w:spacing w:val="44"/>
                <w:sz w:val="18"/>
              </w:rPr>
              <w:t xml:space="preserve"> </w:t>
            </w:r>
            <w:proofErr w:type="gramStart"/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 xml:space="preserve">On </w:t>
            </w:r>
            <w:r>
              <w:rPr>
                <w:rFonts w:ascii="Theinhardt Regular Italic" w:hAnsi="Theinhardt Regular Italic"/>
                <w:i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a</w:t>
            </w:r>
            <w:proofErr w:type="gramEnd"/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pacing w:val="-1"/>
                <w:sz w:val="18"/>
              </w:rPr>
              <w:t>remplacé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pacing w:val="-2"/>
                <w:sz w:val="18"/>
              </w:rPr>
              <w:t>le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 xml:space="preserve">chauffage </w:t>
            </w:r>
            <w:r>
              <w:rPr>
                <w:rFonts w:ascii="Theinhardt Regular Italic" w:hAnsi="Theinhardt Regular Italic"/>
                <w:i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à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ab/>
            </w:r>
            <w:r>
              <w:rPr>
                <w:rFonts w:ascii="Theinhardt Regular" w:hAnsi="Theinhardt Regular"/>
                <w:position w:val="8"/>
                <w:sz w:val="14"/>
              </w:rPr>
              <w:t>Wand: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4BCD2502" w14:textId="77777777" w:rsidR="0047286C" w:rsidRDefault="009D154F">
            <w:pPr>
              <w:pStyle w:val="TableParagraph"/>
              <w:spacing w:line="151" w:lineRule="exact"/>
              <w:ind w:left="177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20 cm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14:paraId="1811A4C1" w14:textId="77777777" w:rsidR="0047286C" w:rsidRDefault="009D154F">
            <w:pPr>
              <w:pStyle w:val="TableParagraph"/>
              <w:spacing w:line="151" w:lineRule="exact"/>
              <w:ind w:left="128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U-Wert: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77EA5095" w14:textId="77777777" w:rsidR="0047286C" w:rsidRDefault="0047286C"/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7322677A" w14:textId="77777777" w:rsidR="0047286C" w:rsidRDefault="009D154F">
            <w:pPr>
              <w:pStyle w:val="TableParagraph"/>
              <w:spacing w:line="151" w:lineRule="exact"/>
              <w:ind w:left="92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pacing w:val="-3"/>
                <w:sz w:val="14"/>
              </w:rPr>
              <w:t>0.16</w:t>
            </w:r>
            <w:r>
              <w:rPr>
                <w:rFonts w:ascii="Theinhardt Regular"/>
                <w:spacing w:val="-11"/>
                <w:sz w:val="14"/>
              </w:rPr>
              <w:t xml:space="preserve"> </w:t>
            </w:r>
            <w:r>
              <w:rPr>
                <w:rFonts w:ascii="Theinhardt Regular"/>
                <w:sz w:val="14"/>
              </w:rPr>
              <w:t>W/m</w:t>
            </w:r>
            <w:r>
              <w:rPr>
                <w:rFonts w:ascii="Theinhardt Regular"/>
                <w:position w:val="5"/>
                <w:sz w:val="8"/>
              </w:rPr>
              <w:t>2</w:t>
            </w:r>
            <w:r>
              <w:rPr>
                <w:rFonts w:ascii="Theinhardt Regular"/>
                <w:sz w:val="14"/>
              </w:rPr>
              <w:t>K</w:t>
            </w:r>
          </w:p>
        </w:tc>
      </w:tr>
      <w:tr w:rsidR="0047286C" w14:paraId="44460536" w14:textId="77777777">
        <w:trPr>
          <w:trHeight w:hRule="exact" w:val="160"/>
        </w:trPr>
        <w:tc>
          <w:tcPr>
            <w:tcW w:w="80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E353F7" w14:textId="77777777" w:rsidR="0047286C" w:rsidRDefault="009D154F">
            <w:pPr>
              <w:pStyle w:val="TableParagraph"/>
              <w:spacing w:line="160" w:lineRule="exact"/>
              <w:ind w:right="562"/>
              <w:jc w:val="right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Dach: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1B190B8A" w14:textId="77777777" w:rsidR="0047286C" w:rsidRDefault="009D154F">
            <w:pPr>
              <w:pStyle w:val="TableParagraph"/>
              <w:spacing w:line="160" w:lineRule="exact"/>
              <w:ind w:left="18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pacing w:val="-2"/>
                <w:sz w:val="14"/>
              </w:rPr>
              <w:t>24</w:t>
            </w:r>
            <w:r>
              <w:rPr>
                <w:rFonts w:ascii="Theinhardt Regular"/>
                <w:sz w:val="14"/>
              </w:rPr>
              <w:t xml:space="preserve"> cm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14:paraId="2ADC7AAF" w14:textId="77777777" w:rsidR="0047286C" w:rsidRDefault="009D154F">
            <w:pPr>
              <w:pStyle w:val="TableParagraph"/>
              <w:spacing w:line="160" w:lineRule="exact"/>
              <w:ind w:left="128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U-Wert: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675B6556" w14:textId="77777777" w:rsidR="0047286C" w:rsidRDefault="0047286C"/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384B854F" w14:textId="77777777" w:rsidR="0047286C" w:rsidRDefault="009D154F">
            <w:pPr>
              <w:pStyle w:val="TableParagraph"/>
              <w:spacing w:line="160" w:lineRule="exact"/>
              <w:ind w:left="8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pacing w:val="-3"/>
                <w:sz w:val="14"/>
              </w:rPr>
              <w:t>0.17</w:t>
            </w:r>
            <w:r>
              <w:rPr>
                <w:rFonts w:ascii="Theinhardt Regular"/>
                <w:sz w:val="14"/>
              </w:rPr>
              <w:t xml:space="preserve"> </w:t>
            </w:r>
            <w:r>
              <w:rPr>
                <w:rFonts w:ascii="Theinhardt Regular"/>
                <w:spacing w:val="-1"/>
                <w:sz w:val="14"/>
              </w:rPr>
              <w:t>W/m</w:t>
            </w:r>
            <w:r>
              <w:rPr>
                <w:rFonts w:ascii="Theinhardt Regular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spacing w:val="-1"/>
                <w:sz w:val="14"/>
              </w:rPr>
              <w:t>K</w:t>
            </w:r>
          </w:p>
        </w:tc>
      </w:tr>
      <w:tr w:rsidR="0047286C" w14:paraId="0B94164B" w14:textId="77777777">
        <w:trPr>
          <w:trHeight w:hRule="exact" w:val="160"/>
        </w:trPr>
        <w:tc>
          <w:tcPr>
            <w:tcW w:w="80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42B678" w14:textId="77777777" w:rsidR="0047286C" w:rsidRDefault="009D154F">
            <w:pPr>
              <w:pStyle w:val="TableParagraph"/>
              <w:tabs>
                <w:tab w:val="left" w:pos="3611"/>
                <w:tab w:val="left" w:pos="7169"/>
              </w:tabs>
              <w:spacing w:line="160" w:lineRule="exact"/>
              <w:ind w:left="5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-1"/>
                <w:position w:val="1"/>
                <w:sz w:val="18"/>
              </w:rPr>
              <w:t>Zusammenspiel</w:t>
            </w:r>
            <w:r>
              <w:rPr>
                <w:rFonts w:ascii="Theinhardt Regular" w:hAnsi="Theinhardt Regular"/>
                <w:color w:val="231F20"/>
                <w:position w:val="1"/>
                <w:sz w:val="18"/>
              </w:rPr>
              <w:t xml:space="preserve">  </w:t>
            </w:r>
            <w:r>
              <w:rPr>
                <w:rFonts w:ascii="Theinhardt Regular" w:hAnsi="Theinhardt Regular"/>
                <w:color w:val="231F20"/>
                <w:spacing w:val="11"/>
                <w:position w:val="1"/>
                <w:sz w:val="18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position w:val="1"/>
                <w:sz w:val="18"/>
              </w:rPr>
              <w:t xml:space="preserve">der  </w:t>
            </w:r>
            <w:r>
              <w:rPr>
                <w:rFonts w:ascii="Theinhardt Regular" w:hAnsi="Theinhardt Regular"/>
                <w:color w:val="231F20"/>
                <w:spacing w:val="11"/>
                <w:position w:val="1"/>
                <w:sz w:val="18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pacing w:val="-3"/>
                <w:position w:val="1"/>
                <w:sz w:val="18"/>
              </w:rPr>
              <w:t>Luft-Wasser-Wärme-</w:t>
            </w:r>
            <w:r>
              <w:rPr>
                <w:rFonts w:ascii="Theinhardt Regular" w:hAnsi="Theinhardt Regular"/>
                <w:color w:val="231F20"/>
                <w:spacing w:val="-3"/>
                <w:position w:val="1"/>
                <w:sz w:val="18"/>
              </w:rPr>
              <w:tab/>
            </w:r>
            <w:r>
              <w:rPr>
                <w:rFonts w:ascii="Theinhardt Regular Italic" w:hAnsi="Theinhardt Regular Italic"/>
                <w:i/>
                <w:color w:val="231F20"/>
                <w:spacing w:val="-1"/>
                <w:position w:val="1"/>
                <w:sz w:val="18"/>
              </w:rPr>
              <w:t>mazout</w:t>
            </w:r>
            <w:r>
              <w:rPr>
                <w:rFonts w:ascii="Theinhardt Regular Italic" w:hAnsi="Theinhardt Regular Italic"/>
                <w:i/>
                <w:color w:val="231F20"/>
                <w:spacing w:val="39"/>
                <w:position w:val="1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position w:val="1"/>
                <w:sz w:val="18"/>
              </w:rPr>
              <w:t>par</w:t>
            </w:r>
            <w:r>
              <w:rPr>
                <w:rFonts w:ascii="Theinhardt Regular Italic" w:hAnsi="Theinhardt Regular Italic"/>
                <w:i/>
                <w:color w:val="231F20"/>
                <w:spacing w:val="40"/>
                <w:position w:val="1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pacing w:val="-1"/>
                <w:position w:val="1"/>
                <w:sz w:val="18"/>
              </w:rPr>
              <w:t>une</w:t>
            </w:r>
            <w:r>
              <w:rPr>
                <w:rFonts w:ascii="Theinhardt Regular Italic" w:hAnsi="Theinhardt Regular Italic"/>
                <w:i/>
                <w:color w:val="231F20"/>
                <w:spacing w:val="39"/>
                <w:position w:val="1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position w:val="1"/>
                <w:sz w:val="18"/>
              </w:rPr>
              <w:t>pompe</w:t>
            </w:r>
            <w:r>
              <w:rPr>
                <w:rFonts w:ascii="Theinhardt Regular Italic" w:hAnsi="Theinhardt Regular Italic"/>
                <w:i/>
                <w:color w:val="231F20"/>
                <w:spacing w:val="40"/>
                <w:position w:val="1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position w:val="1"/>
                <w:sz w:val="18"/>
              </w:rPr>
              <w:t>à</w:t>
            </w:r>
            <w:r>
              <w:rPr>
                <w:rFonts w:ascii="Theinhardt Regular Italic" w:hAnsi="Theinhardt Regular Italic"/>
                <w:i/>
                <w:color w:val="231F20"/>
                <w:spacing w:val="40"/>
                <w:position w:val="1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spacing w:val="-1"/>
                <w:position w:val="1"/>
                <w:sz w:val="18"/>
              </w:rPr>
              <w:t>chaleur</w:t>
            </w:r>
            <w:r>
              <w:rPr>
                <w:rFonts w:ascii="Theinhardt Regular Italic" w:hAnsi="Theinhardt Regular Italic"/>
                <w:i/>
                <w:color w:val="231F20"/>
                <w:spacing w:val="39"/>
                <w:position w:val="1"/>
                <w:sz w:val="18"/>
              </w:rPr>
              <w:t xml:space="preserve"> </w:t>
            </w:r>
            <w:r>
              <w:rPr>
                <w:rFonts w:ascii="Theinhardt Regular Italic" w:hAnsi="Theinhardt Regular Italic"/>
                <w:i/>
                <w:color w:val="231F20"/>
                <w:position w:val="1"/>
                <w:sz w:val="18"/>
              </w:rPr>
              <w:t>air-eau.</w:t>
            </w:r>
            <w:r>
              <w:rPr>
                <w:rFonts w:ascii="Theinhardt Regular Italic" w:hAnsi="Theinhardt Regular Italic"/>
                <w:i/>
                <w:color w:val="231F20"/>
                <w:position w:val="1"/>
                <w:sz w:val="18"/>
              </w:rPr>
              <w:tab/>
            </w:r>
            <w:r>
              <w:rPr>
                <w:rFonts w:ascii="Theinhardt Regular" w:hAnsi="Theinhardt Regular"/>
                <w:sz w:val="14"/>
              </w:rPr>
              <w:t>Boden: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135EE8DF" w14:textId="77777777" w:rsidR="0047286C" w:rsidRDefault="009D154F">
            <w:pPr>
              <w:pStyle w:val="TableParagraph"/>
              <w:spacing w:line="160" w:lineRule="exact"/>
              <w:ind w:left="186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pacing w:val="-4"/>
                <w:sz w:val="14"/>
              </w:rPr>
              <w:t>12</w:t>
            </w:r>
            <w:r>
              <w:rPr>
                <w:rFonts w:ascii="Theinhardt Regular"/>
                <w:sz w:val="14"/>
              </w:rPr>
              <w:t xml:space="preserve"> cm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14:paraId="3B186D3B" w14:textId="77777777" w:rsidR="0047286C" w:rsidRDefault="009D154F">
            <w:pPr>
              <w:pStyle w:val="TableParagraph"/>
              <w:spacing w:line="160" w:lineRule="exact"/>
              <w:ind w:left="128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U-Wert: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33234F72" w14:textId="77777777" w:rsidR="0047286C" w:rsidRDefault="0047286C"/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6CAB882D" w14:textId="77777777" w:rsidR="0047286C" w:rsidRDefault="009D154F">
            <w:pPr>
              <w:pStyle w:val="TableParagraph"/>
              <w:spacing w:line="160" w:lineRule="exact"/>
              <w:ind w:left="7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pacing w:val="-1"/>
                <w:sz w:val="14"/>
              </w:rPr>
              <w:t>0.25</w:t>
            </w:r>
            <w:r>
              <w:rPr>
                <w:rFonts w:ascii="Theinhardt Regular"/>
                <w:sz w:val="14"/>
              </w:rPr>
              <w:t xml:space="preserve"> </w:t>
            </w:r>
            <w:r>
              <w:rPr>
                <w:rFonts w:ascii="Theinhardt Regular"/>
                <w:spacing w:val="-1"/>
                <w:sz w:val="14"/>
              </w:rPr>
              <w:t>W/m</w:t>
            </w:r>
            <w:r>
              <w:rPr>
                <w:rFonts w:ascii="Theinhardt Regular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spacing w:val="-1"/>
                <w:sz w:val="14"/>
              </w:rPr>
              <w:t>K</w:t>
            </w:r>
          </w:p>
        </w:tc>
      </w:tr>
      <w:tr w:rsidR="0047286C" w14:paraId="4C14004F" w14:textId="77777777">
        <w:trPr>
          <w:trHeight w:hRule="exact" w:val="151"/>
        </w:trPr>
        <w:tc>
          <w:tcPr>
            <w:tcW w:w="80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27FD1C" w14:textId="77777777" w:rsidR="0047286C" w:rsidRDefault="009D154F">
            <w:pPr>
              <w:pStyle w:val="TableParagraph"/>
              <w:tabs>
                <w:tab w:val="left" w:pos="3611"/>
                <w:tab w:val="left" w:pos="7169"/>
              </w:tabs>
              <w:spacing w:line="151" w:lineRule="exact"/>
              <w:ind w:left="5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-1"/>
                <w:sz w:val="18"/>
              </w:rPr>
              <w:t>pumpe</w:t>
            </w:r>
            <w:r>
              <w:rPr>
                <w:rFonts w:ascii="Theinhardt Regular" w:hAnsi="Theinhardt Regular"/>
                <w:color w:val="231F20"/>
                <w:spacing w:val="-23"/>
                <w:sz w:val="18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z w:val="18"/>
              </w:rPr>
              <w:t>mit</w:t>
            </w:r>
            <w:r>
              <w:rPr>
                <w:rFonts w:ascii="Theinhardt Regular" w:hAnsi="Theinhardt Regular"/>
                <w:color w:val="231F20"/>
                <w:spacing w:val="-22"/>
                <w:sz w:val="18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z w:val="18"/>
              </w:rPr>
              <w:t>dem</w:t>
            </w:r>
            <w:r>
              <w:rPr>
                <w:rFonts w:ascii="Theinhardt Regular" w:hAnsi="Theinhardt Regular"/>
                <w:color w:val="231F20"/>
                <w:spacing w:val="-22"/>
                <w:sz w:val="18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pacing w:val="-1"/>
                <w:sz w:val="18"/>
              </w:rPr>
              <w:t>(thermischen)</w:t>
            </w:r>
            <w:r>
              <w:rPr>
                <w:rFonts w:ascii="Theinhardt Regular" w:hAnsi="Theinhardt Regular"/>
                <w:color w:val="231F20"/>
                <w:spacing w:val="-22"/>
                <w:sz w:val="18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pacing w:val="-1"/>
                <w:sz w:val="18"/>
              </w:rPr>
              <w:t>Jennispeicher</w:t>
            </w:r>
            <w:r>
              <w:rPr>
                <w:rFonts w:ascii="Theinhardt Regular" w:hAnsi="Theinhardt Regular"/>
                <w:color w:val="231F20"/>
                <w:spacing w:val="-1"/>
                <w:sz w:val="18"/>
              </w:rPr>
              <w:tab/>
            </w:r>
            <w:proofErr w:type="gramStart"/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>Grâce  à</w:t>
            </w:r>
            <w:proofErr w:type="gramEnd"/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 xml:space="preserve">  </w:t>
            </w:r>
            <w:r>
              <w:rPr>
                <w:rFonts w:ascii="Theinhardt Regular Italic" w:hAnsi="Theinhardt Regular Italic"/>
                <w:i/>
                <w:color w:val="231F20"/>
                <w:spacing w:val="-1"/>
                <w:sz w:val="18"/>
              </w:rPr>
              <w:t>une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 xml:space="preserve">  </w:t>
            </w:r>
            <w:r>
              <w:rPr>
                <w:rFonts w:ascii="Theinhardt Regular Italic" w:hAnsi="Theinhardt Regular Italic"/>
                <w:i/>
                <w:color w:val="231F20"/>
                <w:spacing w:val="-2"/>
                <w:sz w:val="18"/>
              </w:rPr>
              <w:t>meilleure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 xml:space="preserve">  </w:t>
            </w:r>
            <w:r>
              <w:rPr>
                <w:rFonts w:ascii="Theinhardt Regular Italic" w:hAnsi="Theinhardt Regular Italic"/>
                <w:i/>
                <w:color w:val="231F20"/>
                <w:spacing w:val="-1"/>
                <w:sz w:val="18"/>
              </w:rPr>
              <w:t>isolation</w:t>
            </w:r>
            <w:r>
              <w:rPr>
                <w:rFonts w:ascii="Theinhardt Regular Italic" w:hAnsi="Theinhardt Regular Italic"/>
                <w:i/>
                <w:color w:val="231F20"/>
                <w:sz w:val="18"/>
              </w:rPr>
              <w:t xml:space="preserve">  et  à  </w:t>
            </w:r>
            <w:r>
              <w:rPr>
                <w:rFonts w:ascii="Theinhardt Regular Italic" w:hAnsi="Theinhardt Regular Italic"/>
                <w:i/>
                <w:color w:val="231F20"/>
                <w:spacing w:val="-1"/>
                <w:sz w:val="18"/>
              </w:rPr>
              <w:t>une</w:t>
            </w:r>
            <w:r>
              <w:rPr>
                <w:rFonts w:ascii="Theinhardt Regular Italic" w:hAnsi="Theinhardt Regular Italic"/>
                <w:i/>
                <w:color w:val="231F20"/>
                <w:spacing w:val="-1"/>
                <w:sz w:val="18"/>
              </w:rPr>
              <w:tab/>
            </w:r>
            <w:r>
              <w:rPr>
                <w:rFonts w:ascii="Theinhardt Regular" w:hAnsi="Theinhardt Regular"/>
                <w:position w:val="6"/>
                <w:sz w:val="14"/>
              </w:rPr>
              <w:t>Fenster: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5825E80C" w14:textId="77777777" w:rsidR="0047286C" w:rsidRDefault="009D154F">
            <w:pPr>
              <w:pStyle w:val="TableParagraph"/>
              <w:spacing w:line="151" w:lineRule="exact"/>
              <w:ind w:left="76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dreifach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14:paraId="4143FC23" w14:textId="77777777" w:rsidR="0047286C" w:rsidRDefault="009D154F">
            <w:pPr>
              <w:pStyle w:val="TableParagraph"/>
              <w:spacing w:line="151" w:lineRule="exact"/>
              <w:ind w:left="128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U-Wert: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682C9424" w14:textId="77777777" w:rsidR="0047286C" w:rsidRDefault="0047286C"/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113C2995" w14:textId="77777777" w:rsidR="0047286C" w:rsidRDefault="009D154F">
            <w:pPr>
              <w:pStyle w:val="TableParagraph"/>
              <w:spacing w:line="151" w:lineRule="exact"/>
              <w:ind w:left="152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0.9 W/m</w:t>
            </w:r>
            <w:r>
              <w:rPr>
                <w:rFonts w:ascii="Theinhardt Regular"/>
                <w:position w:val="5"/>
                <w:sz w:val="8"/>
              </w:rPr>
              <w:t>2</w:t>
            </w:r>
            <w:r>
              <w:rPr>
                <w:rFonts w:ascii="Theinhardt Regular"/>
                <w:sz w:val="14"/>
              </w:rPr>
              <w:t>K</w:t>
            </w:r>
          </w:p>
        </w:tc>
      </w:tr>
      <w:tr w:rsidR="0047286C" w14:paraId="20238AD2" w14:textId="77777777">
        <w:trPr>
          <w:trHeight w:hRule="exact" w:val="162"/>
        </w:trPr>
        <w:tc>
          <w:tcPr>
            <w:tcW w:w="1056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65CC5F8" w14:textId="77777777" w:rsidR="0047286C" w:rsidRDefault="009D154F">
            <w:pPr>
              <w:pStyle w:val="TableParagraph"/>
              <w:spacing w:line="162" w:lineRule="exact"/>
              <w:ind w:right="987"/>
              <w:jc w:val="right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Energiebedarf</w:t>
            </w:r>
            <w:r>
              <w:rPr>
                <w:rFonts w:ascii="Theinhardt Bold"/>
                <w:b/>
                <w:color w:val="231F20"/>
                <w:sz w:val="14"/>
              </w:rPr>
              <w:t xml:space="preserve"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vor</w:t>
            </w:r>
            <w:r>
              <w:rPr>
                <w:rFonts w:ascii="Theinhardt Bold"/>
                <w:b/>
                <w:color w:val="231F20"/>
                <w:sz w:val="14"/>
              </w:rPr>
              <w:t xml:space="preserve"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Sanierung</w:t>
            </w:r>
            <w:r>
              <w:rPr>
                <w:rFonts w:ascii="Theinhardt Bold"/>
                <w:b/>
                <w:color w:val="231F20"/>
                <w:sz w:val="14"/>
              </w:rPr>
              <w:t xml:space="preserve"> </w:t>
            </w:r>
            <w:r>
              <w:rPr>
                <w:rFonts w:ascii="Theinhardt Bold"/>
                <w:b/>
                <w:color w:val="231F20"/>
                <w:spacing w:val="-1"/>
                <w:sz w:val="14"/>
              </w:rPr>
              <w:t>(100%)</w:t>
            </w:r>
          </w:p>
        </w:tc>
      </w:tr>
      <w:tr w:rsidR="0047286C" w14:paraId="129FAF7D" w14:textId="77777777">
        <w:trPr>
          <w:trHeight w:hRule="exact" w:val="168"/>
        </w:trPr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</w:tcPr>
          <w:p w14:paraId="0E9157F5" w14:textId="77777777" w:rsidR="0047286C" w:rsidRDefault="009D154F">
            <w:pPr>
              <w:pStyle w:val="TableParagraph"/>
              <w:spacing w:line="140" w:lineRule="exact"/>
              <w:ind w:left="55"/>
              <w:rPr>
                <w:rFonts w:ascii="Theinhardt Regular" w:eastAsia="Theinhardt Regular" w:hAnsi="Theinhardt Regular" w:cs="Theinhardt Regular"/>
                <w:sz w:val="18"/>
                <w:szCs w:val="18"/>
              </w:rPr>
            </w:pPr>
            <w:proofErr w:type="gramStart"/>
            <w:r>
              <w:rPr>
                <w:rFonts w:ascii="Theinhardt Regular" w:eastAsia="Theinhardt Regular" w:hAnsi="Theinhardt Regular" w:cs="Theinhardt Regular"/>
                <w:color w:val="231F20"/>
                <w:sz w:val="18"/>
                <w:szCs w:val="18"/>
              </w:rPr>
              <w:t xml:space="preserve">und 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Theinhardt Regular" w:eastAsia="Theinhardt Regular" w:hAnsi="Theinhardt Regular" w:cs="Theinhardt Regular"/>
                <w:color w:val="231F20"/>
                <w:sz w:val="18"/>
                <w:szCs w:val="18"/>
              </w:rPr>
              <w:t>ca.</w:t>
            </w:r>
            <w:proofErr w:type="gramEnd"/>
            <w:r>
              <w:rPr>
                <w:rFonts w:ascii="Theinhardt Regular" w:eastAsia="Theinhardt Regular" w:hAnsi="Theinhardt Regular" w:cs="Theinhardt Regular"/>
                <w:color w:val="231F20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Theinhardt Regular" w:eastAsia="Theinhardt Regular" w:hAnsi="Theinhardt Regular" w:cs="Theinhardt Regular"/>
                <w:color w:val="231F20"/>
                <w:sz w:val="18"/>
                <w:szCs w:val="18"/>
              </w:rPr>
              <w:t xml:space="preserve">12’800 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-2"/>
                <w:sz w:val="18"/>
                <w:szCs w:val="18"/>
              </w:rPr>
              <w:t>kWh/a</w:t>
            </w:r>
            <w:r>
              <w:rPr>
                <w:rFonts w:ascii="Theinhardt Regular" w:eastAsia="Theinhardt Regular" w:hAnsi="Theinhardt Regular" w:cs="Theinhardt Regular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-1"/>
                <w:sz w:val="18"/>
                <w:szCs w:val="18"/>
              </w:rPr>
              <w:t>Solarstrom</w:t>
            </w:r>
            <w:r>
              <w:rPr>
                <w:rFonts w:ascii="Theinhardt Regular" w:eastAsia="Theinhardt Regular" w:hAnsi="Theinhardt Regular" w:cs="Theinhardt Regular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-1"/>
                <w:sz w:val="18"/>
                <w:szCs w:val="18"/>
              </w:rPr>
              <w:t>funk-</w:t>
            </w:r>
          </w:p>
        </w:tc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</w:tcPr>
          <w:p w14:paraId="78E81849" w14:textId="77777777" w:rsidR="0047286C" w:rsidRDefault="009D154F">
            <w:pPr>
              <w:pStyle w:val="TableParagraph"/>
              <w:spacing w:line="140" w:lineRule="exact"/>
              <w:ind w:left="113"/>
              <w:rPr>
                <w:rFonts w:ascii="Theinhardt Regular Italic" w:eastAsia="Theinhardt Regular Italic" w:hAnsi="Theinhardt Regular Italic" w:cs="Theinhardt Regular Italic"/>
                <w:sz w:val="18"/>
                <w:szCs w:val="18"/>
              </w:rPr>
            </w:pP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-2"/>
                <w:sz w:val="18"/>
                <w:szCs w:val="18"/>
              </w:rPr>
              <w:t>technologie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z w:val="18"/>
                <w:szCs w:val="18"/>
              </w:rPr>
              <w:t>d’habitat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-1"/>
                <w:sz w:val="18"/>
                <w:szCs w:val="18"/>
              </w:rPr>
              <w:t>efficiente,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-1"/>
                <w:sz w:val="18"/>
                <w:szCs w:val="18"/>
              </w:rPr>
              <w:t>les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-1"/>
                <w:sz w:val="18"/>
                <w:szCs w:val="18"/>
              </w:rPr>
              <w:t>besoins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7AF890E4" w14:textId="77777777" w:rsidR="0047286C" w:rsidRDefault="009D154F">
            <w:pPr>
              <w:pStyle w:val="TableParagraph"/>
              <w:spacing w:line="153" w:lineRule="exact"/>
              <w:ind w:left="114"/>
              <w:rPr>
                <w:rFonts w:ascii="Theinhardt Regular" w:eastAsia="Theinhardt Regular" w:hAnsi="Theinhardt Regular" w:cs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EBF: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199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DB7C15" w14:textId="77777777" w:rsidR="0047286C" w:rsidRDefault="009D154F">
            <w:pPr>
              <w:pStyle w:val="TableParagraph"/>
              <w:spacing w:line="153" w:lineRule="exact"/>
              <w:ind w:left="56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7B33F1D7" w14:textId="77777777" w:rsidR="0047286C" w:rsidRDefault="009D154F">
            <w:pPr>
              <w:pStyle w:val="TableParagraph"/>
              <w:spacing w:line="153" w:lineRule="exact"/>
              <w:ind w:left="138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12D1B880" w14:textId="77777777" w:rsidR="0047286C" w:rsidRDefault="009D154F">
            <w:pPr>
              <w:pStyle w:val="TableParagraph"/>
              <w:spacing w:line="153" w:lineRule="exact"/>
              <w:ind w:left="42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</w:p>
        </w:tc>
      </w:tr>
      <w:tr w:rsidR="0047286C" w14:paraId="500A3384" w14:textId="77777777">
        <w:trPr>
          <w:trHeight w:hRule="exact" w:val="265"/>
        </w:trPr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</w:tcPr>
          <w:p w14:paraId="131C0F9A" w14:textId="77777777" w:rsidR="0047286C" w:rsidRDefault="009D154F">
            <w:pPr>
              <w:pStyle w:val="TableParagraph"/>
              <w:spacing w:line="217" w:lineRule="exact"/>
              <w:ind w:left="55"/>
              <w:rPr>
                <w:rFonts w:ascii="Theinhardt Regular" w:eastAsia="Theinhardt Regular" w:hAnsi="Theinhardt Regular" w:cs="Theinhardt Regular"/>
                <w:sz w:val="18"/>
                <w:szCs w:val="18"/>
              </w:rPr>
            </w:pPr>
            <w:r>
              <w:rPr>
                <w:rFonts w:ascii="Theinhardt Regular"/>
                <w:color w:val="231F20"/>
                <w:sz w:val="18"/>
              </w:rPr>
              <w:t>tioniert</w:t>
            </w:r>
            <w:r>
              <w:rPr>
                <w:rFonts w:ascii="Theinhardt Regular"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Theinhardt Regular"/>
                <w:color w:val="231F20"/>
                <w:sz w:val="18"/>
              </w:rPr>
              <w:t>das</w:t>
            </w:r>
            <w:r>
              <w:rPr>
                <w:rFonts w:ascii="Theinhardt Regular"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Theinhardt Regular"/>
                <w:color w:val="231F20"/>
                <w:sz w:val="18"/>
              </w:rPr>
              <w:t>Haus</w:t>
            </w:r>
            <w:r>
              <w:rPr>
                <w:rFonts w:ascii="Theinhardt Regular"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Theinhardt Regular"/>
                <w:color w:val="231F20"/>
                <w:sz w:val="18"/>
              </w:rPr>
              <w:t>als</w:t>
            </w:r>
            <w:r>
              <w:rPr>
                <w:rFonts w:ascii="Theinhardt Regular"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Theinhardt Regular"/>
                <w:color w:val="231F20"/>
                <w:sz w:val="18"/>
              </w:rPr>
              <w:t>Kraftwerk</w:t>
            </w:r>
            <w:r>
              <w:rPr>
                <w:rFonts w:ascii="Theinhardt Regular"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Theinhardt Regular"/>
                <w:color w:val="231F20"/>
                <w:sz w:val="18"/>
              </w:rPr>
              <w:t>und</w:t>
            </w:r>
            <w:r>
              <w:rPr>
                <w:rFonts w:ascii="Theinhardt Regular"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Theinhardt Regular"/>
                <w:color w:val="231F20"/>
                <w:sz w:val="18"/>
              </w:rPr>
              <w:t>deckt</w:t>
            </w:r>
          </w:p>
        </w:tc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</w:tcPr>
          <w:p w14:paraId="368F3B79" w14:textId="77777777" w:rsidR="0047286C" w:rsidRDefault="009D154F">
            <w:pPr>
              <w:pStyle w:val="TableParagraph"/>
              <w:spacing w:line="218" w:lineRule="exact"/>
              <w:ind w:left="113"/>
              <w:rPr>
                <w:rFonts w:ascii="Theinhardt Regular Italic" w:eastAsia="Theinhardt Regular Italic" w:hAnsi="Theinhardt Regular Italic" w:cs="Theinhardt Regular Italic"/>
                <w:sz w:val="18"/>
                <w:szCs w:val="18"/>
              </w:rPr>
            </w:pP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-1"/>
                <w:sz w:val="18"/>
                <w:szCs w:val="18"/>
              </w:rPr>
              <w:t>en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-2"/>
                <w:sz w:val="18"/>
                <w:szCs w:val="18"/>
              </w:rPr>
              <w:t>énergie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z w:val="18"/>
                <w:szCs w:val="18"/>
              </w:rPr>
              <w:t>ont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-1"/>
                <w:sz w:val="18"/>
                <w:szCs w:val="18"/>
              </w:rPr>
              <w:t>chuté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-2"/>
                <w:sz w:val="18"/>
                <w:szCs w:val="18"/>
              </w:rPr>
              <w:t>de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z w:val="18"/>
                <w:szCs w:val="18"/>
              </w:rPr>
              <w:t>85%,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-2"/>
                <w:sz w:val="18"/>
                <w:szCs w:val="18"/>
              </w:rPr>
              <w:t>de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z w:val="18"/>
                <w:szCs w:val="18"/>
              </w:rPr>
              <w:t>62’900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z w:val="18"/>
                <w:szCs w:val="18"/>
              </w:rPr>
              <w:t>à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2FE95119" w14:textId="77777777" w:rsidR="0047286C" w:rsidRDefault="009D154F">
            <w:pPr>
              <w:pStyle w:val="TableParagraph"/>
              <w:spacing w:line="207" w:lineRule="auto"/>
              <w:ind w:left="114" w:right="7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Warmwasser:</w:t>
            </w:r>
            <w:r>
              <w:rPr>
                <w:rFonts w:ascii="Theinhardt Regular"/>
                <w:color w:val="231F20"/>
                <w:spacing w:val="29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Heizung: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D8F224" w14:textId="77777777" w:rsidR="0047286C" w:rsidRDefault="009D154F">
            <w:pPr>
              <w:pStyle w:val="TableParagraph"/>
              <w:spacing w:line="152" w:lineRule="exact"/>
              <w:ind w:left="82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23</w:t>
            </w:r>
          </w:p>
          <w:p w14:paraId="31CE228D" w14:textId="77777777" w:rsidR="0047286C" w:rsidRDefault="009D154F">
            <w:pPr>
              <w:pStyle w:val="TableParagraph"/>
              <w:spacing w:line="112" w:lineRule="exact"/>
              <w:ind w:left="74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265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4C103C09" w14:textId="77777777" w:rsidR="0047286C" w:rsidRDefault="009D154F">
            <w:pPr>
              <w:pStyle w:val="TableParagraph"/>
              <w:spacing w:line="152" w:lineRule="exact"/>
              <w:ind w:left="18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7</w:t>
            </w:r>
          </w:p>
          <w:p w14:paraId="25DC03AE" w14:textId="77777777" w:rsidR="0047286C" w:rsidRDefault="009D154F">
            <w:pPr>
              <w:pStyle w:val="TableParagraph"/>
              <w:spacing w:line="112" w:lineRule="exact"/>
              <w:ind w:left="99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85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0485FEF5" w14:textId="77777777" w:rsidR="0047286C" w:rsidRDefault="009D154F">
            <w:pPr>
              <w:pStyle w:val="TableParagraph"/>
              <w:spacing w:line="152" w:lineRule="exact"/>
              <w:ind w:left="462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eastAsia="Theinhardt Regular" w:hAnsi="Theinhardt Regular" w:cs="Theinhardt Regular"/>
                <w:color w:val="231F20"/>
                <w:spacing w:val="-1"/>
                <w:sz w:val="14"/>
                <w:szCs w:val="14"/>
              </w:rPr>
              <w:t>4’556</w:t>
            </w:r>
          </w:p>
          <w:p w14:paraId="2392C131" w14:textId="77777777" w:rsidR="0047286C" w:rsidRDefault="009D154F">
            <w:pPr>
              <w:pStyle w:val="TableParagraph"/>
              <w:spacing w:line="112" w:lineRule="exact"/>
              <w:ind w:left="376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eastAsia="Theinhardt Regular" w:hAnsi="Theinhardt Regular" w:cs="Theinhardt Regular"/>
                <w:color w:val="231F20"/>
                <w:spacing w:val="-1"/>
                <w:sz w:val="14"/>
                <w:szCs w:val="14"/>
              </w:rPr>
              <w:t>52’695</w:t>
            </w:r>
          </w:p>
        </w:tc>
      </w:tr>
      <w:tr w:rsidR="0047286C" w14:paraId="5C963E59" w14:textId="77777777">
        <w:trPr>
          <w:trHeight w:hRule="exact" w:val="215"/>
        </w:trPr>
        <w:tc>
          <w:tcPr>
            <w:tcW w:w="80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672A11" w14:textId="77777777" w:rsidR="0047286C" w:rsidRDefault="009D154F">
            <w:pPr>
              <w:pStyle w:val="TableParagraph"/>
              <w:tabs>
                <w:tab w:val="left" w:pos="3611"/>
                <w:tab w:val="left" w:pos="7169"/>
              </w:tabs>
              <w:spacing w:line="215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proofErr w:type="gramStart"/>
            <w:r>
              <w:rPr>
                <w:rFonts w:ascii="Theinhardt Regular" w:eastAsia="Theinhardt Regular" w:hAnsi="Theinhardt Regular" w:cs="Theinhardt Regular"/>
                <w:color w:val="231F20"/>
                <w:sz w:val="18"/>
                <w:szCs w:val="18"/>
              </w:rPr>
              <w:t xml:space="preserve">den 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Theinhardt Regular" w:eastAsia="Theinhardt Regular" w:hAnsi="Theinhardt Regular" w:cs="Theinhardt Regular"/>
                <w:color w:val="231F20"/>
                <w:sz w:val="18"/>
                <w:szCs w:val="18"/>
              </w:rPr>
              <w:t>eigenen</w:t>
            </w:r>
            <w:proofErr w:type="gramEnd"/>
            <w:r>
              <w:rPr>
                <w:rFonts w:ascii="Theinhardt Regular" w:eastAsia="Theinhardt Regular" w:hAnsi="Theinhardt Regular" w:cs="Theinhardt Regular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-1"/>
                <w:sz w:val="18"/>
                <w:szCs w:val="18"/>
              </w:rPr>
              <w:t>Energiebedarf</w:t>
            </w:r>
            <w:r>
              <w:rPr>
                <w:rFonts w:ascii="Theinhardt Regular" w:eastAsia="Theinhardt Regular" w:hAnsi="Theinhardt Regular" w:cs="Theinhardt Regular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Theinhardt Regular" w:eastAsia="Theinhardt Regular" w:hAnsi="Theinhardt Regular" w:cs="Theinhardt Regular"/>
                <w:color w:val="231F20"/>
                <w:sz w:val="18"/>
                <w:szCs w:val="18"/>
              </w:rPr>
              <w:t xml:space="preserve">von 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Theinhardt Regular" w:eastAsia="Theinhardt Regular" w:hAnsi="Theinhardt Regular" w:cs="Theinhardt Regular"/>
                <w:color w:val="231F20"/>
                <w:sz w:val="18"/>
                <w:szCs w:val="18"/>
              </w:rPr>
              <w:t>9’500</w:t>
            </w:r>
            <w:r>
              <w:rPr>
                <w:rFonts w:ascii="Theinhardt Regular" w:eastAsia="Theinhardt Regular" w:hAnsi="Theinhardt Regular" w:cs="Theinhardt Regular"/>
                <w:color w:val="231F20"/>
                <w:sz w:val="18"/>
                <w:szCs w:val="18"/>
              </w:rPr>
              <w:tab/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z w:val="18"/>
                <w:szCs w:val="18"/>
              </w:rPr>
              <w:t>9’500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-2"/>
                <w:sz w:val="18"/>
                <w:szCs w:val="18"/>
              </w:rPr>
              <w:t>kWh/a.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-5"/>
                <w:sz w:val="18"/>
                <w:szCs w:val="18"/>
              </w:rPr>
              <w:t>Le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-2"/>
                <w:sz w:val="18"/>
                <w:szCs w:val="18"/>
              </w:rPr>
              <w:t>système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-1"/>
                <w:sz w:val="18"/>
                <w:szCs w:val="18"/>
              </w:rPr>
              <w:t>solaire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-2"/>
                <w:sz w:val="18"/>
                <w:szCs w:val="18"/>
              </w:rPr>
              <w:t>thermique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-2"/>
                <w:sz w:val="18"/>
                <w:szCs w:val="18"/>
              </w:rPr>
              <w:tab/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2"/>
                <w:position w:val="-4"/>
                <w:sz w:val="14"/>
                <w:szCs w:val="14"/>
              </w:rPr>
              <w:t>Elektrizität: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3AC5A338" w14:textId="77777777" w:rsidR="0047286C" w:rsidRDefault="0047286C"/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14:paraId="4B137B67" w14:textId="77777777" w:rsidR="0047286C" w:rsidRDefault="009D154F">
            <w:pPr>
              <w:pStyle w:val="TableParagraph"/>
              <w:spacing w:before="35" w:line="180" w:lineRule="exact"/>
              <w:ind w:left="167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28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4571F303" w14:textId="77777777" w:rsidR="0047286C" w:rsidRDefault="009D154F">
            <w:pPr>
              <w:pStyle w:val="TableParagraph"/>
              <w:spacing w:before="35" w:line="180" w:lineRule="exact"/>
              <w:ind w:left="18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3F8496B4" w14:textId="77777777" w:rsidR="0047286C" w:rsidRDefault="009D154F">
            <w:pPr>
              <w:pStyle w:val="TableParagraph"/>
              <w:spacing w:before="35" w:line="180" w:lineRule="exact"/>
              <w:ind w:left="47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eastAsia="Theinhardt Regular" w:hAnsi="Theinhardt Regular" w:cs="Theinhardt Regular"/>
                <w:color w:val="231F20"/>
                <w:spacing w:val="-3"/>
                <w:sz w:val="14"/>
                <w:szCs w:val="14"/>
              </w:rPr>
              <w:t>5’614</w:t>
            </w:r>
          </w:p>
        </w:tc>
      </w:tr>
      <w:tr w:rsidR="0047286C" w14:paraId="67BAC03B" w14:textId="77777777">
        <w:trPr>
          <w:trHeight w:hRule="exact" w:val="189"/>
        </w:trPr>
        <w:tc>
          <w:tcPr>
            <w:tcW w:w="80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E2B6B3" w14:textId="77777777" w:rsidR="0047286C" w:rsidRDefault="009D154F">
            <w:pPr>
              <w:pStyle w:val="TableParagraph"/>
              <w:tabs>
                <w:tab w:val="left" w:pos="3611"/>
                <w:tab w:val="left" w:pos="7169"/>
              </w:tabs>
              <w:spacing w:line="189" w:lineRule="exact"/>
              <w:ind w:left="5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Regular" w:eastAsia="Theinhardt Regular" w:hAnsi="Theinhardt Regular" w:cs="Theinhardt Regular"/>
                <w:color w:val="231F20"/>
                <w:spacing w:val="-2"/>
                <w:sz w:val="18"/>
                <w:szCs w:val="18"/>
              </w:rPr>
              <w:t>kWh/a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Theinhardt Regular" w:eastAsia="Theinhardt Regular" w:hAnsi="Theinhardt Regular" w:cs="Theinhardt Regular"/>
                <w:color w:val="231F20"/>
                <w:sz w:val="18"/>
                <w:szCs w:val="18"/>
              </w:rPr>
              <w:t>selbst.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-1"/>
                <w:sz w:val="18"/>
                <w:szCs w:val="18"/>
              </w:rPr>
              <w:t>Die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Theinhardt Regular" w:eastAsia="Theinhardt Regular" w:hAnsi="Theinhardt Regular" w:cs="Theinhardt Regular"/>
                <w:color w:val="231F20"/>
                <w:sz w:val="18"/>
                <w:szCs w:val="18"/>
              </w:rPr>
              <w:t>10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Theinhardt Regular" w:eastAsia="Theinhardt Regular" w:hAnsi="Theinhardt Regular" w:cs="Theinhardt Regular"/>
                <w:color w:val="231F20"/>
                <w:sz w:val="18"/>
                <w:szCs w:val="18"/>
              </w:rPr>
              <w:t>m</w:t>
            </w:r>
            <w:proofErr w:type="gramStart"/>
            <w:r>
              <w:rPr>
                <w:rFonts w:ascii="Theinhardt Regular" w:eastAsia="Theinhardt Regular" w:hAnsi="Theinhardt Regular" w:cs="Theinhardt Regular"/>
                <w:color w:val="231F20"/>
                <w:position w:val="6"/>
                <w:sz w:val="10"/>
                <w:szCs w:val="10"/>
              </w:rPr>
              <w:t xml:space="preserve">2 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1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-2"/>
                <w:sz w:val="18"/>
                <w:szCs w:val="18"/>
              </w:rPr>
              <w:t>grosse</w:t>
            </w:r>
            <w:proofErr w:type="gramEnd"/>
            <w:r>
              <w:rPr>
                <w:rFonts w:ascii="Theinhardt Regular" w:eastAsia="Theinhardt Regular" w:hAnsi="Theinhardt Regular" w:cs="Theinhardt Regular"/>
                <w:color w:val="231F20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Theinhardt Regular" w:eastAsia="Theinhardt Regular" w:hAnsi="Theinhardt Regular" w:cs="Theinhardt Regular"/>
                <w:color w:val="231F20"/>
                <w:sz w:val="18"/>
                <w:szCs w:val="18"/>
              </w:rPr>
              <w:t>solarther-</w:t>
            </w:r>
            <w:r>
              <w:rPr>
                <w:rFonts w:ascii="Theinhardt Regular" w:eastAsia="Theinhardt Regular" w:hAnsi="Theinhardt Regular" w:cs="Theinhardt Regular"/>
                <w:color w:val="231F20"/>
                <w:sz w:val="18"/>
                <w:szCs w:val="18"/>
              </w:rPr>
              <w:tab/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-2"/>
                <w:sz w:val="18"/>
                <w:szCs w:val="18"/>
              </w:rPr>
              <w:t>de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z w:val="18"/>
                <w:szCs w:val="18"/>
              </w:rPr>
              <w:t>10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z w:val="18"/>
                <w:szCs w:val="18"/>
              </w:rPr>
              <w:t>m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position w:val="4"/>
                <w:sz w:val="14"/>
                <w:szCs w:val="14"/>
              </w:rPr>
              <w:t>2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33"/>
                <w:position w:val="4"/>
                <w:sz w:val="14"/>
                <w:szCs w:val="14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z w:val="18"/>
                <w:szCs w:val="18"/>
              </w:rPr>
              <w:t>et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-1"/>
                <w:sz w:val="18"/>
                <w:szCs w:val="18"/>
              </w:rPr>
              <w:t>l’installation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1"/>
                <w:sz w:val="18"/>
                <w:szCs w:val="18"/>
              </w:rPr>
              <w:t>PV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-2"/>
                <w:sz w:val="18"/>
                <w:szCs w:val="18"/>
              </w:rPr>
              <w:t>de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z w:val="18"/>
                <w:szCs w:val="18"/>
              </w:rPr>
              <w:t>14,6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-2"/>
                <w:sz w:val="18"/>
                <w:szCs w:val="18"/>
              </w:rPr>
              <w:t>kWc</w:t>
            </w:r>
            <w:r>
              <w:rPr>
                <w:rFonts w:ascii="Theinhardt Regular Italic" w:eastAsia="Theinhardt Regular Italic" w:hAnsi="Theinhardt Regular Italic" w:cs="Theinhardt Regular Italic"/>
                <w:i/>
                <w:color w:val="231F20"/>
                <w:spacing w:val="-2"/>
                <w:sz w:val="18"/>
                <w:szCs w:val="18"/>
              </w:rPr>
              <w:tab/>
            </w: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2"/>
                <w:position w:val="2"/>
                <w:sz w:val="14"/>
                <w:szCs w:val="14"/>
              </w:rPr>
              <w:t>Gesamt-EB: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14:paraId="3687A6C0" w14:textId="77777777" w:rsidR="0047286C" w:rsidRDefault="0047286C"/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14:paraId="0D14F6A9" w14:textId="77777777" w:rsidR="0047286C" w:rsidRDefault="009D154F">
            <w:pPr>
              <w:pStyle w:val="TableParagraph"/>
              <w:spacing w:line="165" w:lineRule="exact"/>
              <w:ind w:left="9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316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78475BE0" w14:textId="77777777" w:rsidR="0047286C" w:rsidRDefault="009D154F">
            <w:pPr>
              <w:pStyle w:val="TableParagraph"/>
              <w:spacing w:line="165" w:lineRule="exact"/>
              <w:ind w:left="19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649CA033" w14:textId="77777777" w:rsidR="0047286C" w:rsidRDefault="009D154F">
            <w:pPr>
              <w:pStyle w:val="TableParagraph"/>
              <w:spacing w:line="165" w:lineRule="exact"/>
              <w:ind w:left="361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1"/>
                <w:sz w:val="14"/>
                <w:szCs w:val="14"/>
              </w:rPr>
              <w:t>62’865</w:t>
            </w:r>
          </w:p>
        </w:tc>
      </w:tr>
    </w:tbl>
    <w:p w14:paraId="026D935E" w14:textId="77777777" w:rsidR="0047286C" w:rsidRDefault="0047286C">
      <w:pPr>
        <w:spacing w:line="165" w:lineRule="exact"/>
        <w:rPr>
          <w:rFonts w:ascii="Theinhardt Bold" w:eastAsia="Theinhardt Bold" w:hAnsi="Theinhardt Bold" w:cs="Theinhardt Bold"/>
          <w:sz w:val="14"/>
          <w:szCs w:val="14"/>
        </w:rPr>
        <w:sectPr w:rsidR="0047286C">
          <w:type w:val="continuous"/>
          <w:pgSz w:w="11910" w:h="16840"/>
          <w:pgMar w:top="840" w:right="400" w:bottom="280" w:left="720" w:header="720" w:footer="720" w:gutter="0"/>
          <w:cols w:space="720"/>
        </w:sectPr>
      </w:pPr>
    </w:p>
    <w:p w14:paraId="40BB4142" w14:textId="77777777" w:rsidR="0047286C" w:rsidRDefault="009D154F">
      <w:pPr>
        <w:spacing w:before="1" w:line="194" w:lineRule="exact"/>
        <w:ind w:left="158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/>
          <w:color w:val="231F20"/>
          <w:spacing w:val="-1"/>
          <w:sz w:val="18"/>
        </w:rPr>
        <w:t>mische</w:t>
      </w:r>
      <w:r>
        <w:rPr>
          <w:rFonts w:ascii="Theinhardt Regular"/>
          <w:color w:val="231F20"/>
          <w:spacing w:val="21"/>
          <w:sz w:val="18"/>
        </w:rPr>
        <w:t xml:space="preserve"> </w:t>
      </w:r>
      <w:r>
        <w:rPr>
          <w:rFonts w:ascii="Theinhardt Regular"/>
          <w:color w:val="231F20"/>
          <w:spacing w:val="-1"/>
          <w:sz w:val="18"/>
        </w:rPr>
        <w:t>Anlage</w:t>
      </w:r>
      <w:r>
        <w:rPr>
          <w:rFonts w:ascii="Theinhardt Regular"/>
          <w:color w:val="231F20"/>
          <w:spacing w:val="21"/>
          <w:sz w:val="18"/>
        </w:rPr>
        <w:t xml:space="preserve"> </w:t>
      </w:r>
      <w:r>
        <w:rPr>
          <w:rFonts w:ascii="Theinhardt Regular"/>
          <w:color w:val="231F20"/>
          <w:sz w:val="18"/>
        </w:rPr>
        <w:t>im</w:t>
      </w:r>
      <w:r>
        <w:rPr>
          <w:rFonts w:ascii="Theinhardt Regular"/>
          <w:color w:val="231F20"/>
          <w:spacing w:val="21"/>
          <w:sz w:val="18"/>
        </w:rPr>
        <w:t xml:space="preserve"> </w:t>
      </w:r>
      <w:r>
        <w:rPr>
          <w:rFonts w:ascii="Theinhardt Regular"/>
          <w:color w:val="231F20"/>
          <w:sz w:val="18"/>
        </w:rPr>
        <w:t>steilen</w:t>
      </w:r>
      <w:r>
        <w:rPr>
          <w:rFonts w:ascii="Theinhardt Regular"/>
          <w:color w:val="231F20"/>
          <w:spacing w:val="21"/>
          <w:sz w:val="18"/>
        </w:rPr>
        <w:t xml:space="preserve"> </w:t>
      </w:r>
      <w:r>
        <w:rPr>
          <w:rFonts w:ascii="Theinhardt Regular"/>
          <w:color w:val="231F20"/>
          <w:sz w:val="18"/>
        </w:rPr>
        <w:t>Dachteil</w:t>
      </w:r>
      <w:r>
        <w:rPr>
          <w:rFonts w:ascii="Theinhardt Regular"/>
          <w:color w:val="231F20"/>
          <w:spacing w:val="21"/>
          <w:sz w:val="18"/>
        </w:rPr>
        <w:t xml:space="preserve"> </w:t>
      </w:r>
      <w:r>
        <w:rPr>
          <w:rFonts w:ascii="Theinhardt Regular"/>
          <w:color w:val="231F20"/>
          <w:sz w:val="18"/>
        </w:rPr>
        <w:t>erzeugt</w:t>
      </w:r>
    </w:p>
    <w:p w14:paraId="6AC35F16" w14:textId="77777777" w:rsidR="0047286C" w:rsidRDefault="009D154F">
      <w:pPr>
        <w:spacing w:before="1" w:line="194" w:lineRule="exact"/>
        <w:ind w:left="158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br w:type="column"/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génèrent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ensemble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15’800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kWh/a,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assurant</w:t>
      </w:r>
    </w:p>
    <w:p w14:paraId="6423C53A" w14:textId="77777777" w:rsidR="0047286C" w:rsidRDefault="009D154F">
      <w:pPr>
        <w:spacing w:before="8"/>
        <w:ind w:left="158"/>
        <w:rPr>
          <w:rFonts w:ascii="Theinhardt Bold" w:eastAsia="Theinhardt Bold" w:hAnsi="Theinhardt Bold" w:cs="Theinhardt Bold"/>
          <w:sz w:val="14"/>
          <w:szCs w:val="14"/>
        </w:rPr>
      </w:pPr>
      <w:r>
        <w:br w:type="column"/>
      </w:r>
      <w:r>
        <w:rPr>
          <w:rFonts w:ascii="Theinhardt Bold"/>
          <w:b/>
          <w:color w:val="231F20"/>
          <w:spacing w:val="1"/>
          <w:sz w:val="14"/>
        </w:rPr>
        <w:t>Energiebedarf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nach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Sanierung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-2"/>
          <w:sz w:val="14"/>
        </w:rPr>
        <w:t>(15%)</w:t>
      </w:r>
    </w:p>
    <w:p w14:paraId="4B523409" w14:textId="77777777" w:rsidR="0047286C" w:rsidRDefault="0047286C">
      <w:pPr>
        <w:rPr>
          <w:rFonts w:ascii="Theinhardt Bold" w:eastAsia="Theinhardt Bold" w:hAnsi="Theinhardt Bold" w:cs="Theinhardt Bold"/>
          <w:sz w:val="14"/>
          <w:szCs w:val="14"/>
        </w:rPr>
        <w:sectPr w:rsidR="0047286C">
          <w:type w:val="continuous"/>
          <w:pgSz w:w="11910" w:h="16840"/>
          <w:pgMar w:top="840" w:right="400" w:bottom="280" w:left="720" w:header="720" w:footer="720" w:gutter="0"/>
          <w:cols w:num="3" w:space="720" w:equalWidth="0">
            <w:col w:w="3489" w:space="67"/>
            <w:col w:w="3489" w:space="69"/>
            <w:col w:w="3676"/>
          </w:cols>
        </w:sectPr>
      </w:pPr>
    </w:p>
    <w:p w14:paraId="2BA321AD" w14:textId="77777777" w:rsidR="0047286C" w:rsidRDefault="009D154F">
      <w:pPr>
        <w:spacing w:before="35" w:line="127" w:lineRule="exact"/>
        <w:ind w:left="158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jährlich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rund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3’000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kWh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für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den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Heiz-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und</w:t>
      </w:r>
    </w:p>
    <w:p w14:paraId="2C4FAC9C" w14:textId="77777777" w:rsidR="0047286C" w:rsidRDefault="009D154F">
      <w:pPr>
        <w:spacing w:before="35" w:line="127" w:lineRule="exact"/>
        <w:ind w:left="158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br w:type="column"/>
      </w:r>
      <w:r>
        <w:rPr>
          <w:rFonts w:ascii="Theinhardt Regular Italic"/>
          <w:i/>
          <w:color w:val="231F20"/>
          <w:sz w:val="18"/>
        </w:rPr>
        <w:t>ainsi</w:t>
      </w:r>
      <w:r>
        <w:rPr>
          <w:rFonts w:ascii="Theinhardt Regular Italic"/>
          <w:i/>
          <w:color w:val="231F20"/>
          <w:spacing w:val="8"/>
          <w:sz w:val="18"/>
        </w:rPr>
        <w:t xml:space="preserve"> </w:t>
      </w:r>
      <w:r>
        <w:rPr>
          <w:rFonts w:ascii="Theinhardt Regular Italic"/>
          <w:i/>
          <w:color w:val="231F20"/>
          <w:spacing w:val="1"/>
          <w:sz w:val="18"/>
        </w:rPr>
        <w:t>au</w:t>
      </w:r>
      <w:r>
        <w:rPr>
          <w:rFonts w:ascii="Theinhardt Regular Italic"/>
          <w:i/>
          <w:color w:val="231F20"/>
          <w:spacing w:val="8"/>
          <w:sz w:val="18"/>
        </w:rPr>
        <w:t xml:space="preserve"> </w:t>
      </w:r>
      <w:r>
        <w:rPr>
          <w:rFonts w:ascii="Theinhardt Regular Italic"/>
          <w:i/>
          <w:color w:val="231F20"/>
          <w:spacing w:val="-1"/>
          <w:sz w:val="18"/>
        </w:rPr>
        <w:t>BEP</w:t>
      </w:r>
      <w:r>
        <w:rPr>
          <w:rFonts w:ascii="Theinhardt Regular Italic"/>
          <w:i/>
          <w:color w:val="231F20"/>
          <w:spacing w:val="8"/>
          <w:sz w:val="18"/>
        </w:rPr>
        <w:t xml:space="preserve"> </w:t>
      </w:r>
      <w:r>
        <w:rPr>
          <w:rFonts w:ascii="Theinhardt Regular Italic"/>
          <w:i/>
          <w:color w:val="231F20"/>
          <w:spacing w:val="-1"/>
          <w:sz w:val="18"/>
        </w:rPr>
        <w:t>une</w:t>
      </w:r>
      <w:r>
        <w:rPr>
          <w:rFonts w:ascii="Theinhardt Regular Italic"/>
          <w:i/>
          <w:color w:val="231F20"/>
          <w:spacing w:val="8"/>
          <w:sz w:val="18"/>
        </w:rPr>
        <w:t xml:space="preserve"> </w:t>
      </w:r>
      <w:r>
        <w:rPr>
          <w:rFonts w:ascii="Theinhardt Regular Italic"/>
          <w:i/>
          <w:color w:val="231F20"/>
          <w:spacing w:val="-1"/>
          <w:sz w:val="18"/>
        </w:rPr>
        <w:t>autoproduction</w:t>
      </w:r>
      <w:r>
        <w:rPr>
          <w:rFonts w:ascii="Theinhardt Regular Italic"/>
          <w:i/>
          <w:color w:val="231F20"/>
          <w:spacing w:val="8"/>
          <w:sz w:val="18"/>
        </w:rPr>
        <w:t xml:space="preserve"> </w:t>
      </w:r>
      <w:r>
        <w:rPr>
          <w:rFonts w:ascii="Theinhardt Regular Italic"/>
          <w:i/>
          <w:color w:val="231F20"/>
          <w:spacing w:val="-2"/>
          <w:sz w:val="18"/>
        </w:rPr>
        <w:t>de</w:t>
      </w:r>
      <w:r>
        <w:rPr>
          <w:rFonts w:ascii="Theinhardt Regular Italic"/>
          <w:i/>
          <w:color w:val="231F20"/>
          <w:spacing w:val="8"/>
          <w:sz w:val="18"/>
        </w:rPr>
        <w:t xml:space="preserve"> </w:t>
      </w:r>
      <w:r>
        <w:rPr>
          <w:rFonts w:ascii="Theinhardt Regular Italic"/>
          <w:i/>
          <w:color w:val="231F20"/>
          <w:sz w:val="18"/>
        </w:rPr>
        <w:t>166%.</w:t>
      </w:r>
    </w:p>
    <w:p w14:paraId="079DB072" w14:textId="77777777" w:rsidR="0047286C" w:rsidRDefault="009D154F">
      <w:pPr>
        <w:spacing w:line="157" w:lineRule="exact"/>
        <w:ind w:left="158"/>
        <w:rPr>
          <w:rFonts w:ascii="Theinhardt Regular" w:eastAsia="Theinhardt Regular" w:hAnsi="Theinhardt Regular" w:cs="Theinhardt Regular"/>
          <w:sz w:val="8"/>
          <w:szCs w:val="8"/>
        </w:rPr>
      </w:pPr>
      <w:r>
        <w:br w:type="column"/>
      </w:r>
      <w:r>
        <w:rPr>
          <w:rFonts w:ascii="Theinhardt Regular"/>
          <w:color w:val="231F20"/>
          <w:sz w:val="14"/>
        </w:rPr>
        <w:t xml:space="preserve">EBF: </w:t>
      </w:r>
      <w:r>
        <w:rPr>
          <w:rFonts w:ascii="Theinhardt Regular"/>
          <w:color w:val="231F20"/>
          <w:spacing w:val="-2"/>
          <w:sz w:val="14"/>
        </w:rPr>
        <w:t>199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</w:p>
    <w:p w14:paraId="4786BBBD" w14:textId="77777777" w:rsidR="0047286C" w:rsidRDefault="009D154F">
      <w:pPr>
        <w:tabs>
          <w:tab w:val="left" w:pos="996"/>
          <w:tab w:val="left" w:pos="1622"/>
        </w:tabs>
        <w:spacing w:line="157" w:lineRule="exact"/>
        <w:ind w:left="158"/>
        <w:rPr>
          <w:rFonts w:ascii="Theinhardt Regular" w:eastAsia="Theinhardt Regular" w:hAnsi="Theinhardt Regular" w:cs="Theinhardt Regular"/>
          <w:sz w:val="14"/>
          <w:szCs w:val="14"/>
        </w:rPr>
      </w:pPr>
      <w:r>
        <w:br w:type="column"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</w:r>
      <w:r>
        <w:rPr>
          <w:rFonts w:ascii="Theinhardt Regular"/>
          <w:color w:val="231F20"/>
          <w:sz w:val="14"/>
        </w:rPr>
        <w:tab/>
        <w:t>%</w:t>
      </w:r>
      <w:r>
        <w:rPr>
          <w:rFonts w:ascii="Theinhardt Regular"/>
          <w:color w:val="231F20"/>
          <w:sz w:val="14"/>
        </w:rPr>
        <w:tab/>
        <w:t>kWh/a</w:t>
      </w:r>
    </w:p>
    <w:p w14:paraId="16DD0F97" w14:textId="77777777" w:rsidR="0047286C" w:rsidRDefault="0047286C">
      <w:pPr>
        <w:spacing w:line="157" w:lineRule="exact"/>
        <w:rPr>
          <w:rFonts w:ascii="Theinhardt Regular" w:eastAsia="Theinhardt Regular" w:hAnsi="Theinhardt Regular" w:cs="Theinhardt Regular"/>
          <w:sz w:val="14"/>
          <w:szCs w:val="14"/>
        </w:rPr>
        <w:sectPr w:rsidR="0047286C">
          <w:type w:val="continuous"/>
          <w:pgSz w:w="11910" w:h="16840"/>
          <w:pgMar w:top="840" w:right="400" w:bottom="280" w:left="720" w:header="720" w:footer="720" w:gutter="0"/>
          <w:cols w:num="4" w:space="720" w:equalWidth="0">
            <w:col w:w="3489" w:space="67"/>
            <w:col w:w="3496" w:space="62"/>
            <w:col w:w="930" w:space="544"/>
            <w:col w:w="2202"/>
          </w:cols>
        </w:sectPr>
      </w:pPr>
    </w:p>
    <w:p w14:paraId="39ABC3BC" w14:textId="77777777" w:rsidR="0047286C" w:rsidRDefault="009D154F">
      <w:pPr>
        <w:spacing w:before="93" w:line="230" w:lineRule="exact"/>
        <w:ind w:left="158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Warmwasserbedarf.</w:t>
      </w:r>
      <w:r>
        <w:rPr>
          <w:rFonts w:ascii="Theinhardt Regular" w:eastAsia="Theinhardt Regular" w:hAnsi="Theinhardt Regular" w:cs="Theinhardt Regular"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Die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nicht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ganzflächig</w:t>
      </w:r>
      <w:r>
        <w:rPr>
          <w:rFonts w:ascii="Theinhardt Regular" w:eastAsia="Theinhardt Regular" w:hAnsi="Theinhardt Regular" w:cs="Theinhardt Regular"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integrierte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14.6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kW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starke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Dach-PV-Anlage</w:t>
      </w:r>
      <w:r>
        <w:rPr>
          <w:rFonts w:ascii="Theinhardt Regular" w:eastAsia="Theinhardt Regular" w:hAnsi="Theinhardt Regular" w:cs="Theinhardt Regular"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 xml:space="preserve">produziert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einen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 xml:space="preserve"> Solarstromüberschuss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von</w:t>
      </w:r>
      <w:r>
        <w:rPr>
          <w:rFonts w:ascii="Theinhardt Regular" w:eastAsia="Theinhardt Regular" w:hAnsi="Theinhardt Regular" w:cs="Theinhardt Regular"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6’300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kWh/a.</w:t>
      </w:r>
      <w:r>
        <w:rPr>
          <w:rFonts w:ascii="Theinhardt Regular" w:eastAsia="Theinhardt Regular" w:hAnsi="Theinhardt Regular" w:cs="Theinhardt Regular"/>
          <w:color w:val="231F20"/>
          <w:spacing w:val="-1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Damit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können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4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E-Autos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jähr-</w:t>
      </w:r>
      <w:r>
        <w:rPr>
          <w:rFonts w:ascii="Theinhardt Regular" w:eastAsia="Theinhardt Regular" w:hAnsi="Theinhardt Regular" w:cs="Theinhardt Regular"/>
          <w:color w:val="231F20"/>
          <w:spacing w:val="3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lich je 12’000</w:t>
      </w:r>
      <w:r>
        <w:rPr>
          <w:rFonts w:ascii="Theinhardt Regular" w:eastAsia="Theinhardt Regular" w:hAnsi="Theinhardt Regular" w:cs="Theinhardt Regular"/>
          <w:color w:val="231F20"/>
          <w:spacing w:val="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 xml:space="preserve">km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CO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-frei</w:t>
      </w:r>
      <w:r>
        <w:rPr>
          <w:rFonts w:ascii="Theinhardt Regular" w:eastAsia="Theinhardt Regular" w:hAnsi="Theinhardt Regular" w:cs="Theinhardt Regular"/>
          <w:color w:val="231F20"/>
          <w:spacing w:val="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fahren.</w:t>
      </w:r>
    </w:p>
    <w:p w14:paraId="0D80DFC3" w14:textId="77777777" w:rsidR="0047286C" w:rsidRDefault="009D154F">
      <w:pPr>
        <w:spacing w:before="14" w:line="232" w:lineRule="auto"/>
        <w:ind w:left="158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hAnsi="Theinhardt Regular"/>
          <w:color w:val="231F20"/>
          <w:spacing w:val="1"/>
          <w:sz w:val="18"/>
        </w:rPr>
        <w:t>Das</w:t>
      </w:r>
      <w:r>
        <w:rPr>
          <w:rFonts w:ascii="Theinhardt Regular" w:hAnsi="Theinhardt Regular"/>
          <w:color w:val="231F20"/>
          <w:spacing w:val="20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166%-PEB</w:t>
      </w:r>
      <w:r>
        <w:rPr>
          <w:rFonts w:ascii="Theinhardt Regular" w:hAnsi="Theinhardt Regular"/>
          <w:color w:val="231F20"/>
          <w:spacing w:val="20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in</w:t>
      </w:r>
      <w:r>
        <w:rPr>
          <w:rFonts w:ascii="Theinhardt Regular" w:hAnsi="Theinhardt Regular"/>
          <w:color w:val="231F20"/>
          <w:spacing w:val="20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Steffisburg</w:t>
      </w:r>
      <w:r>
        <w:rPr>
          <w:rFonts w:ascii="Theinhardt Regular" w:hAnsi="Theinhardt Regular"/>
          <w:color w:val="231F20"/>
          <w:spacing w:val="20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demons-</w:t>
      </w:r>
      <w:r>
        <w:rPr>
          <w:rFonts w:ascii="Theinhardt Regular" w:hAnsi="Theinhardt Regular"/>
          <w:color w:val="231F20"/>
          <w:spacing w:val="24"/>
          <w:sz w:val="18"/>
        </w:rPr>
        <w:t xml:space="preserve"> </w:t>
      </w:r>
      <w:r>
        <w:rPr>
          <w:rFonts w:ascii="Theinhardt Regular" w:hAnsi="Theinhardt Regular"/>
          <w:color w:val="231F20"/>
          <w:spacing w:val="1"/>
          <w:sz w:val="18"/>
        </w:rPr>
        <w:t>triert,</w:t>
      </w:r>
      <w:r>
        <w:rPr>
          <w:rFonts w:ascii="Theinhardt Regular" w:hAnsi="Theinhardt Regular"/>
          <w:color w:val="231F20"/>
          <w:spacing w:val="10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wie</w:t>
      </w:r>
      <w:r>
        <w:rPr>
          <w:rFonts w:ascii="Theinhardt Regular" w:hAnsi="Theinhardt Regular"/>
          <w:color w:val="231F20"/>
          <w:spacing w:val="21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auch</w:t>
      </w:r>
      <w:r>
        <w:rPr>
          <w:rFonts w:ascii="Theinhardt Regular" w:hAnsi="Theinhardt Regular"/>
          <w:color w:val="231F20"/>
          <w:spacing w:val="21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ältere</w:t>
      </w:r>
      <w:r>
        <w:rPr>
          <w:rFonts w:ascii="Theinhardt Regular" w:hAnsi="Theinhardt Regular"/>
          <w:color w:val="231F20"/>
          <w:spacing w:val="21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Häuser</w:t>
      </w:r>
      <w:r>
        <w:rPr>
          <w:rFonts w:ascii="Theinhardt Regular" w:hAnsi="Theinhardt Regular"/>
          <w:color w:val="231F20"/>
          <w:spacing w:val="21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zeitgemässe</w:t>
      </w:r>
      <w:r>
        <w:rPr>
          <w:rFonts w:ascii="Theinhardt Regular" w:hAnsi="Theinhardt Regular"/>
          <w:color w:val="231F20"/>
          <w:spacing w:val="34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Solartechnik</w:t>
      </w:r>
      <w:r>
        <w:rPr>
          <w:rFonts w:ascii="Theinhardt Regular" w:hAnsi="Theinhardt Regular"/>
          <w:color w:val="231F20"/>
          <w:spacing w:val="24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anwenden</w:t>
      </w:r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24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einen</w:t>
      </w:r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Beitrag</w:t>
      </w:r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 xml:space="preserve">zur </w:t>
      </w:r>
      <w:r>
        <w:rPr>
          <w:rFonts w:ascii="Theinhardt Regular" w:hAnsi="Theinhardt Regular"/>
          <w:color w:val="231F20"/>
          <w:spacing w:val="-1"/>
          <w:sz w:val="18"/>
        </w:rPr>
        <w:t>Energiewende</w:t>
      </w:r>
      <w:r>
        <w:rPr>
          <w:rFonts w:ascii="Theinhardt Regular" w:hAnsi="Theinhardt Regular"/>
          <w:color w:val="231F20"/>
          <w:sz w:val="18"/>
        </w:rPr>
        <w:t xml:space="preserve"> leisten </w:t>
      </w:r>
      <w:r>
        <w:rPr>
          <w:rFonts w:ascii="Theinhardt Regular" w:hAnsi="Theinhardt Regular"/>
          <w:color w:val="231F20"/>
          <w:spacing w:val="-1"/>
          <w:sz w:val="18"/>
        </w:rPr>
        <w:t>können.</w:t>
      </w:r>
    </w:p>
    <w:p w14:paraId="2414F4DD" w14:textId="77777777" w:rsidR="0047286C" w:rsidRDefault="009D154F">
      <w:pPr>
        <w:spacing w:before="93" w:line="230" w:lineRule="exact"/>
        <w:ind w:left="158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br w:type="column"/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L’excédent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6’300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per-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mettrait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4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véhicules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électriques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parcou-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rir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chacun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12’000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km/a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sans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émettre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CO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" w:eastAsia="Theinhardt Regular" w:hAnsi="Theinhardt Regular" w:cs="Theinhardt Regular"/>
          <w:color w:val="231F20"/>
          <w:spacing w:val="29"/>
          <w:w w:val="104"/>
          <w:position w:val="-5"/>
          <w:sz w:val="10"/>
          <w:szCs w:val="10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et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d’éviter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rejet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12,9 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CO</w:t>
      </w:r>
      <w:r>
        <w:rPr>
          <w:rFonts w:ascii="Theinhardt Regular" w:eastAsia="Theinhardt Regular" w:hAnsi="Theinhardt Regular" w:cs="Theinhardt Regular"/>
          <w:color w:val="231F20"/>
          <w:position w:val="-5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.</w:t>
      </w:r>
    </w:p>
    <w:p w14:paraId="53027E87" w14:textId="77777777" w:rsidR="0047286C" w:rsidRDefault="009D154F">
      <w:pPr>
        <w:tabs>
          <w:tab w:val="left" w:pos="1803"/>
          <w:tab w:val="left" w:pos="2351"/>
          <w:tab w:val="left" w:pos="3124"/>
        </w:tabs>
        <w:spacing w:line="155" w:lineRule="exact"/>
        <w:ind w:left="159"/>
        <w:rPr>
          <w:rFonts w:ascii="Theinhardt Bold" w:eastAsia="Theinhardt Bold" w:hAnsi="Theinhardt Bold" w:cs="Theinhardt Bold"/>
          <w:sz w:val="14"/>
          <w:szCs w:val="14"/>
        </w:rPr>
      </w:pPr>
      <w: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Gesamt-EB: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4"/>
          <w:szCs w:val="14"/>
        </w:rPr>
        <w:t>47.7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w w:val="95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pacing w:val="-1"/>
          <w:w w:val="95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9’489</w:t>
      </w:r>
    </w:p>
    <w:p w14:paraId="21BCDC62" w14:textId="77777777" w:rsidR="0047286C" w:rsidRDefault="009D154F">
      <w:pPr>
        <w:spacing w:before="35" w:line="172" w:lineRule="exact"/>
        <w:ind w:left="159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Energieversorgung</w:t>
      </w:r>
    </w:p>
    <w:p w14:paraId="655F5F2F" w14:textId="77777777" w:rsidR="0047286C" w:rsidRDefault="009D154F">
      <w:pPr>
        <w:tabs>
          <w:tab w:val="left" w:pos="890"/>
          <w:tab w:val="left" w:pos="1803"/>
          <w:tab w:val="left" w:pos="2450"/>
          <w:tab w:val="left" w:pos="3051"/>
        </w:tabs>
        <w:spacing w:before="6" w:line="207" w:lineRule="auto"/>
        <w:ind w:left="159" w:right="169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Eigen-EV:  </w:t>
      </w:r>
      <w:r>
        <w:rPr>
          <w:rFonts w:ascii="Theinhardt Regular" w:eastAsia="Theinhardt Regular" w:hAnsi="Theinhardt Regular" w:cs="Theinhardt Regular"/>
          <w:color w:val="231F20"/>
          <w:spacing w:val="34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m</w:t>
      </w:r>
      <w:proofErr w:type="gramStart"/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1"/>
          <w:position w:val="5"/>
          <w:sz w:val="8"/>
          <w:szCs w:val="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kWp</w:t>
      </w:r>
      <w:proofErr w:type="gram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</w:t>
      </w:r>
      <w:r>
        <w:rPr>
          <w:rFonts w:ascii="Theinhardt Regular" w:eastAsia="Theinhardt Regular" w:hAnsi="Theinhardt Regular" w:cs="Theinhardt Regular"/>
          <w:color w:val="231F20"/>
          <w:spacing w:val="29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kWh/m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kWh/a</w:t>
      </w:r>
      <w:r>
        <w:rPr>
          <w:rFonts w:ascii="Theinhardt Regular" w:eastAsia="Theinhardt Regular" w:hAnsi="Theinhardt Regular" w:cs="Theinhardt Regular"/>
          <w:color w:val="231F20"/>
          <w:spacing w:val="2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PV: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80</w:t>
      </w:r>
      <w:r>
        <w:rPr>
          <w:rFonts w:ascii="Theinhardt Regular" w:eastAsia="Theinhardt Regular" w:hAnsi="Theinhardt Regular" w:cs="Theinhardt Regular"/>
          <w:color w:val="231F20"/>
          <w:spacing w:val="5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14.6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ab/>
        <w:t>94.1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</w:t>
      </w:r>
      <w:r>
        <w:rPr>
          <w:rFonts w:ascii="Theinhardt Regular" w:eastAsia="Theinhardt Regular" w:hAnsi="Theinhardt Regular" w:cs="Theinhardt Regular"/>
          <w:color w:val="231F20"/>
          <w:spacing w:val="22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134.8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12’790</w:t>
      </w:r>
    </w:p>
    <w:p w14:paraId="16D38823" w14:textId="77777777" w:rsidR="0047286C" w:rsidRDefault="009D154F">
      <w:pPr>
        <w:tabs>
          <w:tab w:val="left" w:pos="898"/>
          <w:tab w:val="left" w:pos="1824"/>
          <w:tab w:val="left" w:pos="2305"/>
          <w:tab w:val="left" w:pos="3156"/>
        </w:tabs>
        <w:spacing w:line="167" w:lineRule="exact"/>
        <w:ind w:left="159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SK: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3"/>
          <w:sz w:val="14"/>
        </w:rPr>
        <w:t>10</w:t>
      </w:r>
      <w:r>
        <w:rPr>
          <w:rFonts w:ascii="Theinhardt Regular"/>
          <w:color w:val="231F20"/>
          <w:spacing w:val="-3"/>
          <w:sz w:val="14"/>
        </w:rPr>
        <w:tab/>
      </w:r>
      <w:r>
        <w:rPr>
          <w:rFonts w:ascii="Theinhardt Regular"/>
          <w:color w:val="231F20"/>
          <w:spacing w:val="2"/>
          <w:sz w:val="14"/>
        </w:rPr>
        <w:t>500</w:t>
      </w:r>
      <w:r>
        <w:rPr>
          <w:rFonts w:ascii="Theinhardt Regular"/>
          <w:color w:val="231F20"/>
          <w:spacing w:val="2"/>
          <w:sz w:val="14"/>
        </w:rPr>
        <w:tab/>
      </w:r>
      <w:r>
        <w:rPr>
          <w:rFonts w:ascii="Theinhardt Regular"/>
          <w:color w:val="231F20"/>
          <w:spacing w:val="-4"/>
          <w:w w:val="95"/>
          <w:sz w:val="14"/>
        </w:rPr>
        <w:t>31.6</w:t>
      </w:r>
      <w:r>
        <w:rPr>
          <w:rFonts w:ascii="Theinhardt Regular"/>
          <w:color w:val="231F20"/>
          <w:spacing w:val="-4"/>
          <w:w w:val="95"/>
          <w:sz w:val="14"/>
        </w:rPr>
        <w:tab/>
      </w:r>
      <w:r>
        <w:rPr>
          <w:rFonts w:ascii="Theinhardt Regular"/>
          <w:color w:val="231F20"/>
          <w:spacing w:val="2"/>
          <w:sz w:val="14"/>
        </w:rPr>
        <w:t>3000</w:t>
      </w:r>
    </w:p>
    <w:p w14:paraId="4C1A5612" w14:textId="77777777" w:rsidR="0047286C" w:rsidRDefault="0047286C">
      <w:pPr>
        <w:rPr>
          <w:rFonts w:ascii="Theinhardt Regular" w:eastAsia="Theinhardt Regular" w:hAnsi="Theinhardt Regular" w:cs="Theinhardt Regular"/>
          <w:sz w:val="2"/>
          <w:szCs w:val="2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914"/>
        <w:gridCol w:w="792"/>
        <w:gridCol w:w="744"/>
      </w:tblGrid>
      <w:tr w:rsidR="0047286C" w14:paraId="66336268" w14:textId="77777777">
        <w:trPr>
          <w:trHeight w:hRule="exact" w:val="171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2964C296" w14:textId="77777777" w:rsidR="0047286C" w:rsidRDefault="009D154F">
            <w:pPr>
              <w:pStyle w:val="TableParagraph"/>
              <w:spacing w:line="135" w:lineRule="exact"/>
              <w:ind w:left="5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Eigenenergieversorgung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14:paraId="1989CA5D" w14:textId="77777777" w:rsidR="0047286C" w:rsidRDefault="009D154F">
            <w:pPr>
              <w:pStyle w:val="TableParagraph"/>
              <w:spacing w:line="135" w:lineRule="exact"/>
              <w:ind w:left="183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166.4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14:paraId="56250B67" w14:textId="77777777" w:rsidR="0047286C" w:rsidRDefault="009D154F">
            <w:pPr>
              <w:pStyle w:val="TableParagraph"/>
              <w:spacing w:line="135" w:lineRule="exact"/>
              <w:ind w:left="228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z w:val="14"/>
                <w:szCs w:val="14"/>
              </w:rPr>
              <w:t>15’790</w:t>
            </w:r>
          </w:p>
        </w:tc>
      </w:tr>
      <w:tr w:rsidR="0047286C" w14:paraId="1A1C8730" w14:textId="77777777">
        <w:trPr>
          <w:trHeight w:hRule="exact" w:val="360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5C531083" w14:textId="77777777" w:rsidR="0047286C" w:rsidRDefault="009D154F">
            <w:pPr>
              <w:pStyle w:val="TableParagraph"/>
              <w:spacing w:before="19" w:line="172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 xml:space="preserve">Energiebilanz </w:t>
            </w:r>
            <w:r>
              <w:rPr>
                <w:rFonts w:ascii="Theinhardt Regular"/>
                <w:color w:val="231F20"/>
                <w:sz w:val="14"/>
              </w:rPr>
              <w:t>(Endenergie)</w:t>
            </w:r>
          </w:p>
          <w:p w14:paraId="79AD5E88" w14:textId="77777777" w:rsidR="0047286C" w:rsidRDefault="009D154F">
            <w:pPr>
              <w:pStyle w:val="TableParagraph"/>
              <w:spacing w:line="169" w:lineRule="exact"/>
              <w:ind w:left="5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Eigenenergieversorgung: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14:paraId="0B108BA9" w14:textId="77777777" w:rsidR="0047286C" w:rsidRDefault="009D154F">
            <w:pPr>
              <w:pStyle w:val="TableParagraph"/>
              <w:spacing w:before="19" w:line="172" w:lineRule="exact"/>
              <w:ind w:left="432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</w:p>
          <w:p w14:paraId="14CA7670" w14:textId="77777777" w:rsidR="0047286C" w:rsidRDefault="009D154F">
            <w:pPr>
              <w:pStyle w:val="TableParagraph"/>
              <w:spacing w:line="169" w:lineRule="exact"/>
              <w:ind w:left="183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166.4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14:paraId="362E6853" w14:textId="77777777" w:rsidR="0047286C" w:rsidRDefault="009D154F">
            <w:pPr>
              <w:pStyle w:val="TableParagraph"/>
              <w:spacing w:before="19" w:line="172" w:lineRule="exact"/>
              <w:ind w:left="292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</w:p>
          <w:p w14:paraId="2D65167D" w14:textId="77777777" w:rsidR="0047286C" w:rsidRDefault="009D154F">
            <w:pPr>
              <w:pStyle w:val="TableParagraph"/>
              <w:spacing w:line="169" w:lineRule="exact"/>
              <w:ind w:left="228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z w:val="14"/>
                <w:szCs w:val="14"/>
              </w:rPr>
              <w:t>15’790</w:t>
            </w:r>
          </w:p>
        </w:tc>
      </w:tr>
      <w:tr w:rsidR="0047286C" w14:paraId="4DBFD38A" w14:textId="77777777">
        <w:trPr>
          <w:trHeight w:hRule="exact" w:val="159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537B04BE" w14:textId="77777777" w:rsidR="0047286C" w:rsidRDefault="009D154F">
            <w:pPr>
              <w:pStyle w:val="TableParagraph"/>
              <w:spacing w:line="159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Gesamtenergiebedarf: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14:paraId="3171D1BA" w14:textId="77777777" w:rsidR="0047286C" w:rsidRDefault="009D154F">
            <w:pPr>
              <w:pStyle w:val="TableParagraph"/>
              <w:spacing w:line="159" w:lineRule="exact"/>
              <w:ind w:left="312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100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14:paraId="7687AB34" w14:textId="77777777" w:rsidR="0047286C" w:rsidRDefault="009D154F">
            <w:pPr>
              <w:pStyle w:val="TableParagraph"/>
              <w:spacing w:line="159" w:lineRule="exact"/>
              <w:ind w:left="326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eastAsia="Theinhardt Regular" w:hAnsi="Theinhardt Regular" w:cs="Theinhardt Regular"/>
                <w:color w:val="231F20"/>
                <w:spacing w:val="-2"/>
                <w:sz w:val="14"/>
                <w:szCs w:val="14"/>
              </w:rPr>
              <w:t>9’489</w:t>
            </w:r>
          </w:p>
        </w:tc>
      </w:tr>
      <w:tr w:rsidR="0047286C" w14:paraId="1BAD7AA2" w14:textId="77777777">
        <w:trPr>
          <w:trHeight w:hRule="exact" w:val="142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14:paraId="53233377" w14:textId="77777777" w:rsidR="0047286C" w:rsidRDefault="009D154F">
            <w:pPr>
              <w:pStyle w:val="TableParagraph"/>
              <w:spacing w:line="142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Solarstromüberschuss: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14:paraId="087A505F" w14:textId="77777777" w:rsidR="0047286C" w:rsidRDefault="009D154F">
            <w:pPr>
              <w:pStyle w:val="TableParagraph"/>
              <w:spacing w:line="142" w:lineRule="exact"/>
              <w:ind w:left="262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66.4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14:paraId="576A14D1" w14:textId="77777777" w:rsidR="0047286C" w:rsidRDefault="009D154F">
            <w:pPr>
              <w:pStyle w:val="TableParagraph"/>
              <w:spacing w:line="142" w:lineRule="exact"/>
              <w:ind w:left="311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z w:val="14"/>
                <w:szCs w:val="14"/>
              </w:rPr>
              <w:t>6’301</w:t>
            </w:r>
          </w:p>
        </w:tc>
      </w:tr>
    </w:tbl>
    <w:p w14:paraId="6946511F" w14:textId="77777777" w:rsidR="0047286C" w:rsidRDefault="009D154F">
      <w:pPr>
        <w:spacing w:before="61" w:line="160" w:lineRule="exact"/>
        <w:ind w:left="158" w:right="278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NetZulg</w:t>
      </w:r>
      <w:r>
        <w:rPr>
          <w:rFonts w:ascii="Theinhardt Bold" w:hAnsi="Theinhardt Bold"/>
          <w:b/>
          <w:color w:val="231F20"/>
          <w:sz w:val="14"/>
        </w:rPr>
        <w:t xml:space="preserve"> AG </w:t>
      </w:r>
      <w:r>
        <w:rPr>
          <w:rFonts w:ascii="Theinhardt Regular" w:hAnsi="Theinhardt Regular"/>
          <w:color w:val="231F20"/>
          <w:sz w:val="14"/>
        </w:rPr>
        <w:t>am</w:t>
      </w:r>
      <w:r>
        <w:rPr>
          <w:rFonts w:ascii="Theinhardt Regular" w:hAnsi="Theinhardt Regular"/>
          <w:color w:val="231F20"/>
          <w:spacing w:val="-3"/>
          <w:sz w:val="14"/>
        </w:rPr>
        <w:t xml:space="preserve"> 13.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April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2021</w:t>
      </w:r>
      <w:r>
        <w:rPr>
          <w:rFonts w:ascii="Theinhardt Regular" w:hAnsi="Theinhardt Regular"/>
          <w:color w:val="231F20"/>
          <w:spacing w:val="36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Thomas</w:t>
      </w:r>
      <w:r>
        <w:rPr>
          <w:rFonts w:ascii="Theinhardt Regular" w:hAnsi="Theinhardt Regular"/>
          <w:color w:val="231F20"/>
          <w:sz w:val="14"/>
        </w:rPr>
        <w:t xml:space="preserve"> Gander,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33 439 </w:t>
      </w:r>
      <w:r>
        <w:rPr>
          <w:rFonts w:ascii="Theinhardt Regular" w:hAnsi="Theinhardt Regular"/>
          <w:color w:val="231F20"/>
          <w:spacing w:val="-2"/>
          <w:sz w:val="14"/>
        </w:rPr>
        <w:t>42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42</w:t>
      </w:r>
    </w:p>
    <w:p w14:paraId="49A2FBE9" w14:textId="77777777" w:rsidR="0047286C" w:rsidRDefault="009D154F">
      <w:pPr>
        <w:spacing w:before="49"/>
        <w:ind w:left="158"/>
        <w:rPr>
          <w:rFonts w:ascii="Theinhardt Black" w:eastAsia="Theinhardt Black" w:hAnsi="Theinhardt Black" w:cs="Theinhardt Black"/>
          <w:sz w:val="14"/>
          <w:szCs w:val="14"/>
        </w:rPr>
      </w:pPr>
      <w:r>
        <w:rPr>
          <w:rFonts w:ascii="Theinhardt Black"/>
          <w:b/>
          <w:color w:val="231F20"/>
          <w:spacing w:val="2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 xml:space="preserve"> </w:t>
      </w:r>
      <w:r>
        <w:rPr>
          <w:rFonts w:ascii="Theinhardt Black"/>
          <w:b/>
          <w:color w:val="231F20"/>
          <w:spacing w:val="2"/>
          <w:sz w:val="14"/>
        </w:rPr>
        <w:t>Personen</w:t>
      </w:r>
    </w:p>
    <w:p w14:paraId="0CA6F7D5" w14:textId="77777777" w:rsidR="0047286C" w:rsidRDefault="0047286C">
      <w:pPr>
        <w:spacing w:before="9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7C7E6637" w14:textId="77777777" w:rsidR="0047286C" w:rsidRDefault="009D154F">
      <w:pPr>
        <w:spacing w:line="20" w:lineRule="atLeast"/>
        <w:ind w:left="159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22FC8D07">
          <v:group id="_x0000_s1038" style="width:167.25pt;height:.45pt;mso-position-horizontal-relative:char;mso-position-vertical-relative:line" coordsize="3345,9">
            <v:group id="_x0000_s1043" style="position:absolute;left:21;top:4;width:3311;height:2" coordorigin="21,4" coordsize="3311,2">
              <v:shape id="_x0000_s1044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41" style="position:absolute;left:4;top:4;width:2;height:2" coordorigin="4,4" coordsize="2,2">
              <v:shape id="_x0000_s1042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39" style="position:absolute;left:3341;top:4;width:2;height:2" coordorigin="3341,4" coordsize="2,2">
              <v:shape id="_x0000_s1040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182442E5" w14:textId="77777777" w:rsidR="0047286C" w:rsidRDefault="009D154F">
      <w:pPr>
        <w:spacing w:before="20" w:line="172" w:lineRule="exact"/>
        <w:ind w:left="15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Bauherrschaft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 xml:space="preserve"> Standort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</w:p>
    <w:p w14:paraId="422708DC" w14:textId="77777777" w:rsidR="0047286C" w:rsidRDefault="009D154F">
      <w:pPr>
        <w:spacing w:line="172" w:lineRule="exact"/>
        <w:ind w:left="158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Marc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7"/>
          <w:sz w:val="14"/>
        </w:rPr>
        <w:t>P.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Schneider,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Lilienweg</w:t>
      </w:r>
      <w:r>
        <w:rPr>
          <w:rFonts w:ascii="Theinhardt Regular"/>
          <w:color w:val="231F20"/>
          <w:sz w:val="14"/>
        </w:rPr>
        <w:t xml:space="preserve"> 4, </w:t>
      </w:r>
      <w:r>
        <w:rPr>
          <w:rFonts w:ascii="Theinhardt Regular"/>
          <w:color w:val="231F20"/>
          <w:spacing w:val="-3"/>
          <w:sz w:val="14"/>
        </w:rPr>
        <w:t>3612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Steffisburg</w:t>
      </w:r>
    </w:p>
    <w:p w14:paraId="6E8BA634" w14:textId="77777777" w:rsidR="0047286C" w:rsidRDefault="009D154F">
      <w:pPr>
        <w:spacing w:before="32" w:line="172" w:lineRule="exact"/>
        <w:ind w:left="15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GEAK-Experte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Energieberatung</w:t>
      </w:r>
    </w:p>
    <w:p w14:paraId="7E740143" w14:textId="77777777" w:rsidR="0047286C" w:rsidRDefault="009D154F">
      <w:pPr>
        <w:spacing w:before="6" w:line="207" w:lineRule="auto"/>
        <w:ind w:left="158" w:right="278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aaac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gmbh</w:t>
      </w:r>
      <w:r>
        <w:rPr>
          <w:rFonts w:ascii="Theinhardt Regular"/>
          <w:color w:val="231F20"/>
          <w:sz w:val="14"/>
        </w:rPr>
        <w:t xml:space="preserve"> - </w:t>
      </w:r>
      <w:r>
        <w:rPr>
          <w:rFonts w:ascii="Theinhardt Regular"/>
          <w:color w:val="231F20"/>
          <w:spacing w:val="2"/>
          <w:sz w:val="14"/>
        </w:rPr>
        <w:t>architektur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atelier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adrian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christen</w:t>
      </w:r>
      <w:r>
        <w:rPr>
          <w:rFonts w:ascii="Theinhardt Regular"/>
          <w:color w:val="231F20"/>
          <w:spacing w:val="22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Alleestrasse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9,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3613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Steffi</w:t>
      </w:r>
      <w:r>
        <w:rPr>
          <w:rFonts w:ascii="Theinhardt Regular"/>
          <w:color w:val="231F20"/>
          <w:spacing w:val="29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burg</w:t>
      </w:r>
    </w:p>
    <w:p w14:paraId="43616897" w14:textId="77777777" w:rsidR="0047286C" w:rsidRDefault="009D154F">
      <w:pPr>
        <w:spacing w:line="167" w:lineRule="exact"/>
        <w:ind w:left="158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33 </w:t>
      </w:r>
      <w:r>
        <w:rPr>
          <w:rFonts w:ascii="Theinhardt Regular"/>
          <w:color w:val="231F20"/>
          <w:spacing w:val="-2"/>
          <w:sz w:val="14"/>
        </w:rPr>
        <w:t>221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50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27</w:t>
      </w:r>
      <w:hyperlink r:id="rId6">
        <w:r>
          <w:rPr>
            <w:rFonts w:ascii="Theinhardt Regular"/>
            <w:color w:val="231F20"/>
            <w:spacing w:val="-4"/>
            <w:sz w:val="14"/>
          </w:rPr>
          <w:t>,</w:t>
        </w:r>
        <w:r>
          <w:rPr>
            <w:rFonts w:ascii="Theinhardt Regular"/>
            <w:color w:val="231F20"/>
            <w:sz w:val="14"/>
          </w:rPr>
          <w:t xml:space="preserve"> </w:t>
        </w:r>
        <w:r>
          <w:rPr>
            <w:rFonts w:ascii="Theinhardt Regular"/>
            <w:color w:val="231F20"/>
            <w:spacing w:val="1"/>
            <w:sz w:val="14"/>
          </w:rPr>
          <w:t>info@architektur-aac.ch</w:t>
        </w:r>
      </w:hyperlink>
    </w:p>
    <w:p w14:paraId="0AF64F70" w14:textId="77777777" w:rsidR="0047286C" w:rsidRDefault="009D154F">
      <w:pPr>
        <w:spacing w:before="43" w:line="160" w:lineRule="exact"/>
        <w:ind w:left="158" w:right="53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P</w:t>
      </w:r>
      <w:r>
        <w:rPr>
          <w:rFonts w:ascii="Theinhardt Bold"/>
          <w:b/>
          <w:color w:val="231F20"/>
          <w:spacing w:val="2"/>
          <w:sz w:val="14"/>
        </w:rPr>
        <w:t>V</w:t>
      </w:r>
      <w:r>
        <w:rPr>
          <w:rFonts w:ascii="Theinhardt Bold"/>
          <w:b/>
          <w:color w:val="231F20"/>
          <w:spacing w:val="3"/>
          <w:sz w:val="14"/>
        </w:rPr>
        <w:t>-A</w:t>
      </w:r>
      <w:r>
        <w:rPr>
          <w:rFonts w:ascii="Theinhardt Bold"/>
          <w:b/>
          <w:color w:val="231F20"/>
          <w:spacing w:val="1"/>
          <w:sz w:val="14"/>
        </w:rPr>
        <w:t>n</w:t>
      </w:r>
      <w:r>
        <w:rPr>
          <w:rFonts w:ascii="Theinhardt Bold"/>
          <w:b/>
          <w:color w:val="231F20"/>
          <w:spacing w:val="2"/>
          <w:sz w:val="14"/>
        </w:rPr>
        <w:t>lag</w:t>
      </w:r>
      <w:r>
        <w:rPr>
          <w:rFonts w:ascii="Theinhardt Bold"/>
          <w:b/>
          <w:color w:val="231F20"/>
          <w:sz w:val="14"/>
        </w:rPr>
        <w:t xml:space="preserve">e </w:t>
      </w:r>
      <w:r>
        <w:rPr>
          <w:rFonts w:ascii="Theinhardt Bold"/>
          <w:b/>
          <w:color w:val="231F20"/>
          <w:spacing w:val="1"/>
          <w:sz w:val="14"/>
        </w:rPr>
        <w:t>u</w:t>
      </w:r>
      <w:r>
        <w:rPr>
          <w:rFonts w:ascii="Theinhardt Bold"/>
          <w:b/>
          <w:color w:val="231F20"/>
          <w:spacing w:val="2"/>
          <w:sz w:val="14"/>
        </w:rPr>
        <w:t>n</w:t>
      </w:r>
      <w:r>
        <w:rPr>
          <w:rFonts w:ascii="Theinhardt Bold"/>
          <w:b/>
          <w:color w:val="231F20"/>
          <w:sz w:val="14"/>
        </w:rPr>
        <w:t xml:space="preserve">d </w:t>
      </w:r>
      <w:r>
        <w:rPr>
          <w:rFonts w:ascii="Theinhardt Bold"/>
          <w:b/>
          <w:color w:val="231F20"/>
          <w:spacing w:val="3"/>
          <w:sz w:val="14"/>
        </w:rPr>
        <w:t>B</w:t>
      </w:r>
      <w:r>
        <w:rPr>
          <w:rFonts w:ascii="Theinhardt Bold"/>
          <w:b/>
          <w:color w:val="231F20"/>
          <w:spacing w:val="2"/>
          <w:sz w:val="14"/>
        </w:rPr>
        <w:t>a</w:t>
      </w:r>
      <w:r>
        <w:rPr>
          <w:rFonts w:ascii="Theinhardt Bold"/>
          <w:b/>
          <w:color w:val="231F20"/>
          <w:spacing w:val="5"/>
          <w:sz w:val="14"/>
        </w:rPr>
        <w:t>t</w:t>
      </w:r>
      <w:r>
        <w:rPr>
          <w:rFonts w:ascii="Theinhardt Bold"/>
          <w:b/>
          <w:color w:val="231F20"/>
          <w:spacing w:val="1"/>
          <w:sz w:val="14"/>
        </w:rPr>
        <w:t>t</w:t>
      </w:r>
      <w:r>
        <w:rPr>
          <w:rFonts w:ascii="Theinhardt Bold"/>
          <w:b/>
          <w:color w:val="231F20"/>
          <w:spacing w:val="2"/>
          <w:sz w:val="14"/>
        </w:rPr>
        <w:t>e</w:t>
      </w:r>
      <w:r>
        <w:rPr>
          <w:rFonts w:ascii="Theinhardt Bold"/>
          <w:b/>
          <w:color w:val="231F20"/>
          <w:spacing w:val="1"/>
          <w:sz w:val="14"/>
        </w:rPr>
        <w:t>r</w:t>
      </w:r>
      <w:r>
        <w:rPr>
          <w:rFonts w:ascii="Theinhardt Bold"/>
          <w:b/>
          <w:color w:val="231F20"/>
          <w:spacing w:val="2"/>
          <w:sz w:val="14"/>
        </w:rPr>
        <w:t>i</w:t>
      </w:r>
      <w:r>
        <w:rPr>
          <w:rFonts w:ascii="Theinhardt Bold"/>
          <w:b/>
          <w:color w:val="231F20"/>
          <w:sz w:val="14"/>
        </w:rPr>
        <w:t xml:space="preserve">e </w:t>
      </w:r>
      <w:r>
        <w:rPr>
          <w:rFonts w:ascii="Theinhardt Regular"/>
          <w:color w:val="231F20"/>
          <w:spacing w:val="2"/>
          <w:sz w:val="14"/>
        </w:rPr>
        <w:t>Energiewendegenossenschaft</w:t>
      </w:r>
      <w:r>
        <w:rPr>
          <w:rFonts w:ascii="Theinhardt Regular"/>
          <w:color w:val="231F20"/>
          <w:spacing w:val="22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Ostermundigenstr.</w:t>
      </w:r>
      <w:r>
        <w:rPr>
          <w:rFonts w:ascii="Theinhardt Regular"/>
          <w:color w:val="231F20"/>
          <w:sz w:val="14"/>
        </w:rPr>
        <w:t xml:space="preserve"> 93, </w:t>
      </w:r>
      <w:r>
        <w:rPr>
          <w:rFonts w:ascii="Theinhardt Regular"/>
          <w:color w:val="231F20"/>
          <w:spacing w:val="2"/>
          <w:sz w:val="14"/>
        </w:rPr>
        <w:t>3006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Bern</w:t>
      </w:r>
    </w:p>
    <w:p w14:paraId="2652225A" w14:textId="77777777" w:rsidR="0047286C" w:rsidRDefault="009D154F">
      <w:pPr>
        <w:spacing w:line="177" w:lineRule="exact"/>
        <w:ind w:left="158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77 </w:t>
      </w:r>
      <w:r>
        <w:rPr>
          <w:rFonts w:ascii="Theinhardt Regular"/>
          <w:color w:val="231F20"/>
          <w:spacing w:val="-1"/>
          <w:sz w:val="14"/>
        </w:rPr>
        <w:t>481</w:t>
      </w:r>
      <w:r>
        <w:rPr>
          <w:rFonts w:ascii="Theinhardt Regular"/>
          <w:color w:val="231F20"/>
          <w:sz w:val="14"/>
        </w:rPr>
        <w:t xml:space="preserve"> 49 </w:t>
      </w:r>
      <w:r>
        <w:rPr>
          <w:rFonts w:ascii="Theinhardt Regular"/>
          <w:color w:val="231F20"/>
          <w:spacing w:val="1"/>
          <w:sz w:val="14"/>
        </w:rPr>
        <w:t>0</w:t>
      </w:r>
      <w:hyperlink r:id="rId7">
        <w:r>
          <w:rPr>
            <w:rFonts w:ascii="Theinhardt Regular"/>
            <w:color w:val="231F20"/>
            <w:spacing w:val="1"/>
            <w:sz w:val="14"/>
          </w:rPr>
          <w:t>6,</w:t>
        </w:r>
        <w:r>
          <w:rPr>
            <w:rFonts w:ascii="Theinhardt Regular"/>
            <w:color w:val="231F20"/>
            <w:sz w:val="14"/>
          </w:rPr>
          <w:t xml:space="preserve"> </w:t>
        </w:r>
        <w:r>
          <w:rPr>
            <w:rFonts w:ascii="Theinhardt Regular"/>
            <w:color w:val="231F20"/>
            <w:spacing w:val="1"/>
            <w:sz w:val="14"/>
          </w:rPr>
          <w:t>info@e-wende.ch</w:t>
        </w:r>
      </w:hyperlink>
    </w:p>
    <w:p w14:paraId="37FCA60C" w14:textId="77777777" w:rsidR="0047286C" w:rsidRDefault="009D154F">
      <w:pPr>
        <w:spacing w:before="43" w:line="160" w:lineRule="exact"/>
        <w:ind w:left="158" w:right="533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Sonnenkollektoren,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2"/>
          <w:sz w:val="14"/>
        </w:rPr>
        <w:t>Solartank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Steuerung</w:t>
      </w:r>
      <w:r>
        <w:rPr>
          <w:rFonts w:ascii="Theinhardt Bold"/>
          <w:b/>
          <w:color w:val="231F20"/>
          <w:spacing w:val="36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Jenni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Energietechnik</w:t>
      </w:r>
      <w:r>
        <w:rPr>
          <w:rFonts w:ascii="Theinhardt Regular"/>
          <w:color w:val="231F20"/>
          <w:sz w:val="14"/>
        </w:rPr>
        <w:t xml:space="preserve"> AG, </w:t>
      </w:r>
      <w:r>
        <w:rPr>
          <w:rFonts w:ascii="Theinhardt Regular"/>
          <w:color w:val="231F20"/>
          <w:spacing w:val="1"/>
          <w:sz w:val="14"/>
        </w:rPr>
        <w:t>Lochbachstr.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22,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3414</w:t>
      </w:r>
      <w:r>
        <w:rPr>
          <w:rFonts w:ascii="Theinhardt Regular"/>
          <w:color w:val="231F20"/>
          <w:spacing w:val="3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Oberburg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bei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Burgdorf</w:t>
      </w:r>
      <w:hyperlink r:id="rId8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 xml:space="preserve"> </w:t>
        </w:r>
        <w:r>
          <w:rPr>
            <w:rFonts w:ascii="Theinhardt Regular"/>
            <w:color w:val="231F20"/>
            <w:spacing w:val="1"/>
            <w:sz w:val="14"/>
          </w:rPr>
          <w:t>info@jenni.ch</w:t>
        </w:r>
      </w:hyperlink>
    </w:p>
    <w:p w14:paraId="727ADB8B" w14:textId="77777777" w:rsidR="0047286C" w:rsidRDefault="0047286C">
      <w:pPr>
        <w:spacing w:line="160" w:lineRule="exact"/>
        <w:jc w:val="both"/>
        <w:rPr>
          <w:rFonts w:ascii="Theinhardt Regular" w:eastAsia="Theinhardt Regular" w:hAnsi="Theinhardt Regular" w:cs="Theinhardt Regular"/>
          <w:sz w:val="14"/>
          <w:szCs w:val="14"/>
        </w:rPr>
        <w:sectPr w:rsidR="0047286C">
          <w:type w:val="continuous"/>
          <w:pgSz w:w="11910" w:h="16840"/>
          <w:pgMar w:top="840" w:right="400" w:bottom="280" w:left="720" w:header="720" w:footer="720" w:gutter="0"/>
          <w:cols w:num="3" w:space="720" w:equalWidth="0">
            <w:col w:w="3489" w:space="67"/>
            <w:col w:w="3489" w:space="69"/>
            <w:col w:w="3676"/>
          </w:cols>
        </w:sectPr>
      </w:pPr>
    </w:p>
    <w:p w14:paraId="6E4564BF" w14:textId="77777777" w:rsidR="0047286C" w:rsidRDefault="0047286C">
      <w:pPr>
        <w:spacing w:before="7"/>
        <w:rPr>
          <w:rFonts w:ascii="Theinhardt Regular" w:eastAsia="Theinhardt Regular" w:hAnsi="Theinhardt Regular" w:cs="Theinhardt Regular"/>
          <w:sz w:val="8"/>
          <w:szCs w:val="8"/>
        </w:rPr>
      </w:pPr>
    </w:p>
    <w:p w14:paraId="7736D9F6" w14:textId="77777777" w:rsidR="0047286C" w:rsidRDefault="009D154F">
      <w:pPr>
        <w:spacing w:line="20" w:lineRule="atLeast"/>
        <w:ind w:left="7273"/>
        <w:rPr>
          <w:rFonts w:ascii="Theinhardt Regular" w:eastAsia="Theinhardt Regular" w:hAnsi="Theinhardt Regular" w:cs="Theinhardt Regular"/>
          <w:sz w:val="2"/>
          <w:szCs w:val="2"/>
        </w:rPr>
      </w:pPr>
      <w:r>
        <w:rPr>
          <w:rFonts w:ascii="Theinhardt Regular" w:eastAsia="Theinhardt Regular" w:hAnsi="Theinhardt Regular" w:cs="Theinhardt Regular"/>
          <w:sz w:val="2"/>
          <w:szCs w:val="2"/>
        </w:rPr>
      </w:r>
      <w:r>
        <w:rPr>
          <w:rFonts w:ascii="Theinhardt Regular" w:eastAsia="Theinhardt Regular" w:hAnsi="Theinhardt Regular" w:cs="Theinhardt Regular"/>
          <w:sz w:val="2"/>
          <w:szCs w:val="2"/>
        </w:rPr>
        <w:pict w14:anchorId="1C683E87">
          <v:group id="_x0000_s1031" style="width:167.25pt;height:.45pt;mso-position-horizontal-relative:char;mso-position-vertical-relative:line" coordsize="3345,9">
            <v:group id="_x0000_s1036" style="position:absolute;left:21;top:4;width:3311;height:2" coordorigin="21,4" coordsize="3311,2">
              <v:shape id="_x0000_s1037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34" style="position:absolute;left:4;top:4;width:2;height:2" coordorigin="4,4" coordsize="2,2">
              <v:shape id="_x0000_s1035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32" style="position:absolute;left:3341;top:4;width:2;height:2" coordorigin="3341,4" coordsize="2,2">
              <v:shape id="_x0000_s1033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0E54A5D6" w14:textId="77777777" w:rsidR="0047286C" w:rsidRDefault="0047286C">
      <w:pPr>
        <w:spacing w:before="10"/>
        <w:rPr>
          <w:rFonts w:ascii="Theinhardt Regular" w:eastAsia="Theinhardt Regular" w:hAnsi="Theinhardt Regular" w:cs="Theinhardt Regular"/>
          <w:sz w:val="26"/>
          <w:szCs w:val="26"/>
        </w:rPr>
      </w:pPr>
    </w:p>
    <w:p w14:paraId="606AB2C5" w14:textId="77777777" w:rsidR="0047286C" w:rsidRDefault="009D154F">
      <w:pPr>
        <w:spacing w:line="200" w:lineRule="atLeast"/>
        <w:ind w:left="7269"/>
        <w:rPr>
          <w:rFonts w:ascii="Theinhardt Regular" w:eastAsia="Theinhardt Regular" w:hAnsi="Theinhardt Regular" w:cs="Theinhardt Regular"/>
          <w:sz w:val="20"/>
          <w:szCs w:val="20"/>
        </w:rPr>
      </w:pPr>
      <w:r>
        <w:rPr>
          <w:rFonts w:ascii="Theinhardt Regular" w:eastAsia="Theinhardt Regular" w:hAnsi="Theinhardt Regular" w:cs="Theinhardt Regular"/>
          <w:sz w:val="20"/>
          <w:szCs w:val="20"/>
        </w:rPr>
      </w:r>
      <w:r>
        <w:rPr>
          <w:rFonts w:ascii="Theinhardt Regular" w:eastAsia="Theinhardt Regular" w:hAnsi="Theinhardt Regular" w:cs="Theinhardt Regular"/>
          <w:sz w:val="20"/>
          <w:szCs w:val="20"/>
        </w:rPr>
        <w:pict w14:anchorId="639BCF5A">
          <v:group id="_x0000_s1027" style="width:167.45pt;height:116.25pt;mso-position-horizontal-relative:char;mso-position-vertical-relative:line" coordsize="3349,2325">
            <v:group id="_x0000_s1028" style="position:absolute;width:3349;height:2325" coordsize="3349,2325">
              <v:shape id="_x0000_s1030" style="position:absolute;width:3349;height:2325" coordsize="3349,2325" path="m,2324r3349,l3349,,,,,2324xe" fillcolor="#231f20" stroked="f">
                <v:path arrowok="t"/>
              </v:shape>
              <v:shape id="_x0000_s1029" type="#_x0000_t75" style="position:absolute;width:3345;height:2324">
                <v:imagedata r:id="rId9" o:title=""/>
              </v:shape>
            </v:group>
            <w10:anchorlock/>
          </v:group>
        </w:pict>
      </w:r>
    </w:p>
    <w:p w14:paraId="785919F6" w14:textId="77777777" w:rsidR="0047286C" w:rsidRDefault="009D154F">
      <w:pPr>
        <w:tabs>
          <w:tab w:val="left" w:pos="7273"/>
        </w:tabs>
        <w:spacing w:before="16"/>
        <w:ind w:left="130"/>
        <w:rPr>
          <w:rFonts w:ascii="Theinhardt Bold" w:eastAsia="Theinhardt Bold" w:hAnsi="Theinhardt Bold" w:cs="Theinhardt Bold"/>
          <w:sz w:val="14"/>
          <w:szCs w:val="14"/>
        </w:rPr>
      </w:pPr>
      <w:r>
        <w:pict w14:anchorId="6B6E93CC">
          <v:shape id="_x0000_s1026" type="#_x0000_t75" style="position:absolute;left:0;text-align:left;margin-left:42.5pt;margin-top:-245.2pt;width:345.2pt;height:245.2pt;z-index:1216;mso-position-horizontal-relative:page">
            <v:imagedata r:id="rId10" o:title=""/>
            <w10:wrap anchorx="page"/>
          </v:shape>
        </w:pict>
      </w: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b/>
          <w:color w:val="231F20"/>
          <w:sz w:val="14"/>
        </w:rPr>
        <w:tab/>
        <w:t>2</w:t>
      </w:r>
    </w:p>
    <w:p w14:paraId="0D45EFE0" w14:textId="77777777" w:rsidR="0047286C" w:rsidRDefault="0047286C">
      <w:pPr>
        <w:rPr>
          <w:rFonts w:ascii="Theinhardt Bold" w:eastAsia="Theinhardt Bold" w:hAnsi="Theinhardt Bold" w:cs="Theinhardt Bold"/>
          <w:sz w:val="14"/>
          <w:szCs w:val="14"/>
        </w:rPr>
        <w:sectPr w:rsidR="0047286C">
          <w:type w:val="continuous"/>
          <w:pgSz w:w="11910" w:h="16840"/>
          <w:pgMar w:top="840" w:right="400" w:bottom="280" w:left="720" w:header="720" w:footer="720" w:gutter="0"/>
          <w:cols w:space="720"/>
        </w:sectPr>
      </w:pPr>
    </w:p>
    <w:p w14:paraId="4F102171" w14:textId="77777777" w:rsidR="0047286C" w:rsidRDefault="0047286C">
      <w:pPr>
        <w:spacing w:before="6"/>
        <w:rPr>
          <w:rFonts w:ascii="Theinhardt Bold" w:eastAsia="Theinhardt Bold" w:hAnsi="Theinhardt Bold" w:cs="Theinhardt Bold"/>
          <w:b/>
          <w:bCs/>
          <w:sz w:val="11"/>
          <w:szCs w:val="11"/>
        </w:rPr>
      </w:pPr>
    </w:p>
    <w:p w14:paraId="38DFC750" w14:textId="77777777" w:rsidR="0047286C" w:rsidRDefault="009D154F">
      <w:pPr>
        <w:numPr>
          <w:ilvl w:val="0"/>
          <w:numId w:val="1"/>
        </w:numPr>
        <w:tabs>
          <w:tab w:val="left" w:pos="370"/>
        </w:tabs>
        <w:spacing w:line="160" w:lineRule="exact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 xml:space="preserve"> nicht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proofErr w:type="gramStart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ganzflächig  integrierten</w:t>
      </w:r>
      <w:proofErr w:type="gramEnd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PV-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und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solarthermischen Anlagen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produzieren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jährlich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15’800 kWh</w:t>
      </w:r>
      <w:r>
        <w:rPr>
          <w:rFonts w:ascii="Theinhardt Bold" w:eastAsia="Theinhardt Bold" w:hAnsi="Theinhardt Bold" w:cs="Theinhardt Bold"/>
          <w:b/>
          <w:bCs/>
          <w:color w:val="231F20"/>
          <w:spacing w:val="62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und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 xml:space="preserve"> decken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166%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des Eigenenergiebedarfs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des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EFH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Schneider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in Steffisburg.</w:t>
      </w:r>
    </w:p>
    <w:p w14:paraId="7BEE2B0A" w14:textId="77777777" w:rsidR="0047286C" w:rsidRDefault="009D154F">
      <w:pPr>
        <w:spacing w:before="3"/>
        <w:rPr>
          <w:rFonts w:ascii="Theinhardt Bold" w:eastAsia="Theinhardt Bold" w:hAnsi="Theinhardt Bold" w:cs="Theinhardt Bold"/>
          <w:b/>
          <w:bCs/>
          <w:sz w:val="12"/>
          <w:szCs w:val="12"/>
        </w:rPr>
      </w:pPr>
      <w:r>
        <w:br w:type="column"/>
      </w:r>
    </w:p>
    <w:p w14:paraId="7AF61CCF" w14:textId="77777777" w:rsidR="0047286C" w:rsidRDefault="009D154F">
      <w:pPr>
        <w:numPr>
          <w:ilvl w:val="0"/>
          <w:numId w:val="1"/>
        </w:numPr>
        <w:tabs>
          <w:tab w:val="left" w:pos="370"/>
        </w:tabs>
        <w:spacing w:line="207" w:lineRule="auto"/>
        <w:ind w:right="482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 xml:space="preserve">Durch </w:t>
      </w:r>
      <w:r>
        <w:rPr>
          <w:rFonts w:ascii="Theinhardt Bold"/>
          <w:b/>
          <w:color w:val="231F20"/>
          <w:spacing w:val="-1"/>
          <w:sz w:val="14"/>
        </w:rPr>
        <w:t>die</w:t>
      </w:r>
      <w:r>
        <w:rPr>
          <w:rFonts w:ascii="Theinhardt Bold"/>
          <w:b/>
          <w:color w:val="231F20"/>
          <w:sz w:val="14"/>
        </w:rPr>
        <w:t xml:space="preserve"> Sanierung </w:t>
      </w:r>
      <w:r>
        <w:rPr>
          <w:rFonts w:ascii="Theinhardt Bold"/>
          <w:b/>
          <w:color w:val="231F20"/>
          <w:spacing w:val="-1"/>
          <w:sz w:val="14"/>
        </w:rPr>
        <w:t>konnte</w:t>
      </w:r>
      <w:r>
        <w:rPr>
          <w:rFonts w:ascii="Theinhardt Bold"/>
          <w:b/>
          <w:color w:val="231F20"/>
          <w:sz w:val="14"/>
        </w:rPr>
        <w:t xml:space="preserve"> das </w:t>
      </w:r>
      <w:r>
        <w:rPr>
          <w:rFonts w:ascii="Theinhardt Bold"/>
          <w:b/>
          <w:color w:val="231F20"/>
          <w:spacing w:val="-1"/>
          <w:sz w:val="14"/>
        </w:rPr>
        <w:t>EFH</w:t>
      </w:r>
      <w:r>
        <w:rPr>
          <w:rFonts w:ascii="Theinhardt Bold"/>
          <w:b/>
          <w:color w:val="231F20"/>
          <w:sz w:val="14"/>
        </w:rPr>
        <w:t xml:space="preserve"> seinen</w:t>
      </w:r>
      <w:r>
        <w:rPr>
          <w:rFonts w:ascii="Theinhardt Bold"/>
          <w:b/>
          <w:color w:val="231F20"/>
          <w:spacing w:val="28"/>
          <w:sz w:val="14"/>
        </w:rPr>
        <w:t xml:space="preserve"> </w:t>
      </w:r>
      <w:r>
        <w:rPr>
          <w:rFonts w:ascii="Theinhardt Bold"/>
          <w:b/>
          <w:color w:val="231F20"/>
          <w:sz w:val="14"/>
        </w:rPr>
        <w:t xml:space="preserve">Energiebedarf und entsprechend auch </w:t>
      </w:r>
      <w:r>
        <w:rPr>
          <w:rFonts w:ascii="Theinhardt Bold"/>
          <w:b/>
          <w:color w:val="231F20"/>
          <w:spacing w:val="-1"/>
          <w:sz w:val="14"/>
        </w:rPr>
        <w:t>die</w:t>
      </w:r>
      <w:r>
        <w:rPr>
          <w:rFonts w:ascii="Theinhardt Bold"/>
          <w:b/>
          <w:color w:val="231F20"/>
          <w:spacing w:val="25"/>
          <w:sz w:val="14"/>
        </w:rPr>
        <w:t xml:space="preserve"> </w:t>
      </w:r>
      <w:r>
        <w:rPr>
          <w:rFonts w:ascii="Theinhardt Bold"/>
          <w:b/>
          <w:color w:val="231F20"/>
          <w:spacing w:val="-1"/>
          <w:sz w:val="14"/>
        </w:rPr>
        <w:t>CO</w:t>
      </w:r>
      <w:r>
        <w:rPr>
          <w:rFonts w:ascii="Theinhardt Bold"/>
          <w:b/>
          <w:color w:val="231F20"/>
          <w:spacing w:val="-1"/>
          <w:position w:val="-4"/>
          <w:sz w:val="8"/>
        </w:rPr>
        <w:t>2</w:t>
      </w:r>
      <w:r>
        <w:rPr>
          <w:rFonts w:ascii="Theinhardt Bold"/>
          <w:b/>
          <w:color w:val="231F20"/>
          <w:spacing w:val="-1"/>
          <w:sz w:val="14"/>
        </w:rPr>
        <w:t>-Emissionen</w:t>
      </w:r>
      <w:r>
        <w:rPr>
          <w:rFonts w:ascii="Theinhardt Bold"/>
          <w:b/>
          <w:color w:val="231F20"/>
          <w:sz w:val="14"/>
        </w:rPr>
        <w:t xml:space="preserve"> um 85% </w:t>
      </w:r>
      <w:r>
        <w:rPr>
          <w:rFonts w:ascii="Theinhardt Bold"/>
          <w:b/>
          <w:color w:val="231F20"/>
          <w:spacing w:val="-1"/>
          <w:sz w:val="14"/>
        </w:rPr>
        <w:t>reduzieren.</w:t>
      </w:r>
    </w:p>
    <w:p w14:paraId="4EBC2CE8" w14:textId="77777777" w:rsidR="0047286C" w:rsidRDefault="0047286C">
      <w:pPr>
        <w:spacing w:line="207" w:lineRule="auto"/>
        <w:rPr>
          <w:rFonts w:ascii="Theinhardt Bold" w:eastAsia="Theinhardt Bold" w:hAnsi="Theinhardt Bold" w:cs="Theinhardt Bold"/>
          <w:sz w:val="14"/>
          <w:szCs w:val="14"/>
        </w:rPr>
        <w:sectPr w:rsidR="0047286C">
          <w:type w:val="continuous"/>
          <w:pgSz w:w="11910" w:h="16840"/>
          <w:pgMar w:top="840" w:right="400" w:bottom="280" w:left="720" w:header="720" w:footer="720" w:gutter="0"/>
          <w:cols w:num="2" w:space="720" w:equalWidth="0">
            <w:col w:w="6939" w:space="192"/>
            <w:col w:w="3659"/>
          </w:cols>
        </w:sectPr>
      </w:pPr>
    </w:p>
    <w:p w14:paraId="241395ED" w14:textId="77777777" w:rsidR="0047286C" w:rsidRDefault="0047286C">
      <w:pPr>
        <w:spacing w:before="8"/>
        <w:rPr>
          <w:rFonts w:ascii="Theinhardt Bold" w:eastAsia="Theinhardt Bold" w:hAnsi="Theinhardt Bold" w:cs="Theinhardt Bold"/>
          <w:b/>
          <w:bCs/>
          <w:sz w:val="21"/>
          <w:szCs w:val="21"/>
        </w:rPr>
      </w:pPr>
    </w:p>
    <w:p w14:paraId="1E6B702E" w14:textId="77777777" w:rsidR="0047286C" w:rsidRDefault="009D154F">
      <w:pPr>
        <w:spacing w:before="70"/>
        <w:ind w:left="6686"/>
        <w:rPr>
          <w:rFonts w:ascii="Theinhardt Heavy" w:eastAsia="Theinhardt Heavy" w:hAnsi="Theinhardt Heavy" w:cs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2021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2021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Heavy"/>
          <w:b/>
          <w:color w:val="231F20"/>
          <w:sz w:val="14"/>
        </w:rPr>
        <w:t>49</w:t>
      </w:r>
    </w:p>
    <w:sectPr w:rsidR="0047286C">
      <w:type w:val="continuous"/>
      <w:pgSz w:w="11910" w:h="16840"/>
      <w:pgMar w:top="840" w:right="40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einhardt Bold">
    <w:altName w:val="Theinhardt Bold"/>
    <w:panose1 w:val="020B0804020202020204"/>
    <w:charset w:val="00"/>
    <w:family w:val="swiss"/>
    <w:notTrueType/>
    <w:pitch w:val="variable"/>
    <w:sig w:usb0="A00000AF" w:usb1="5000206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inhardt Regular">
    <w:altName w:val="Theinhardt Regular"/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lack">
    <w:altName w:val="Theinhardt Black"/>
    <w:panose1 w:val="020B0A04020202020204"/>
    <w:charset w:val="00"/>
    <w:family w:val="swiss"/>
    <w:notTrueType/>
    <w:pitch w:val="variable"/>
    <w:sig w:usb0="A00000AF" w:usb1="4000206A" w:usb2="00000000" w:usb3="00000000" w:csb0="00000093" w:csb1="00000000"/>
  </w:font>
  <w:font w:name="Theinhardt Regular Italic">
    <w:altName w:val="Theinhardt Regular Italic"/>
    <w:panose1 w:val="020B050302020209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Heavy">
    <w:altName w:val="Theinhardt Heavy"/>
    <w:panose1 w:val="020B09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4D3AAF"/>
    <w:multiLevelType w:val="hybridMultilevel"/>
    <w:tmpl w:val="34589736"/>
    <w:lvl w:ilvl="0" w:tplc="8A0426FA">
      <w:start w:val="1"/>
      <w:numFmt w:val="decimal"/>
      <w:lvlText w:val="%1"/>
      <w:lvlJc w:val="left"/>
      <w:pPr>
        <w:ind w:left="369" w:hanging="227"/>
        <w:jc w:val="left"/>
      </w:pPr>
      <w:rPr>
        <w:rFonts w:ascii="Theinhardt Bold" w:eastAsia="Theinhardt Bold" w:hAnsi="Theinhardt Bold" w:hint="default"/>
        <w:b/>
        <w:bCs/>
        <w:color w:val="231F20"/>
        <w:sz w:val="14"/>
        <w:szCs w:val="14"/>
      </w:rPr>
    </w:lvl>
    <w:lvl w:ilvl="1" w:tplc="8D5C9F7A">
      <w:start w:val="1"/>
      <w:numFmt w:val="bullet"/>
      <w:lvlText w:val="•"/>
      <w:lvlJc w:val="left"/>
      <w:pPr>
        <w:ind w:left="1026" w:hanging="227"/>
      </w:pPr>
      <w:rPr>
        <w:rFonts w:hint="default"/>
      </w:rPr>
    </w:lvl>
    <w:lvl w:ilvl="2" w:tplc="93BABD7E">
      <w:start w:val="1"/>
      <w:numFmt w:val="bullet"/>
      <w:lvlText w:val="•"/>
      <w:lvlJc w:val="left"/>
      <w:pPr>
        <w:ind w:left="1683" w:hanging="227"/>
      </w:pPr>
      <w:rPr>
        <w:rFonts w:hint="default"/>
      </w:rPr>
    </w:lvl>
    <w:lvl w:ilvl="3" w:tplc="40E89292">
      <w:start w:val="1"/>
      <w:numFmt w:val="bullet"/>
      <w:lvlText w:val="•"/>
      <w:lvlJc w:val="left"/>
      <w:pPr>
        <w:ind w:left="2340" w:hanging="227"/>
      </w:pPr>
      <w:rPr>
        <w:rFonts w:hint="default"/>
      </w:rPr>
    </w:lvl>
    <w:lvl w:ilvl="4" w:tplc="527272FE">
      <w:start w:val="1"/>
      <w:numFmt w:val="bullet"/>
      <w:lvlText w:val="•"/>
      <w:lvlJc w:val="left"/>
      <w:pPr>
        <w:ind w:left="2997" w:hanging="227"/>
      </w:pPr>
      <w:rPr>
        <w:rFonts w:hint="default"/>
      </w:rPr>
    </w:lvl>
    <w:lvl w:ilvl="5" w:tplc="06F4252C">
      <w:start w:val="1"/>
      <w:numFmt w:val="bullet"/>
      <w:lvlText w:val="•"/>
      <w:lvlJc w:val="left"/>
      <w:pPr>
        <w:ind w:left="3654" w:hanging="227"/>
      </w:pPr>
      <w:rPr>
        <w:rFonts w:hint="default"/>
      </w:rPr>
    </w:lvl>
    <w:lvl w:ilvl="6" w:tplc="4BFEDBDE">
      <w:start w:val="1"/>
      <w:numFmt w:val="bullet"/>
      <w:lvlText w:val="•"/>
      <w:lvlJc w:val="left"/>
      <w:pPr>
        <w:ind w:left="4311" w:hanging="227"/>
      </w:pPr>
      <w:rPr>
        <w:rFonts w:hint="default"/>
      </w:rPr>
    </w:lvl>
    <w:lvl w:ilvl="7" w:tplc="65A4CB58">
      <w:start w:val="1"/>
      <w:numFmt w:val="bullet"/>
      <w:lvlText w:val="•"/>
      <w:lvlJc w:val="left"/>
      <w:pPr>
        <w:ind w:left="4968" w:hanging="227"/>
      </w:pPr>
      <w:rPr>
        <w:rFonts w:hint="default"/>
      </w:rPr>
    </w:lvl>
    <w:lvl w:ilvl="8" w:tplc="864216B4">
      <w:start w:val="1"/>
      <w:numFmt w:val="bullet"/>
      <w:lvlText w:val="•"/>
      <w:lvlJc w:val="left"/>
      <w:pPr>
        <w:ind w:left="5624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286C"/>
    <w:rsid w:val="0047286C"/>
    <w:rsid w:val="009D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;"/>
  <w14:docId w14:val="190E598A"/>
  <w15:docId w15:val="{08554B91-D5D9-4A8E-9BEF-4D72AB809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9"/>
      <w:ind w:left="130"/>
    </w:pPr>
    <w:rPr>
      <w:rFonts w:ascii="Theinhardt Bold" w:eastAsia="Theinhardt Bold" w:hAnsi="Theinhardt Bold"/>
      <w:b/>
      <w:bCs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jenni.ch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e-wende.c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architektur-aac.ch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555</Words>
  <Characters>3498</Characters>
  <Application>Microsoft Office Word</Application>
  <DocSecurity>0</DocSecurity>
  <Lines>29</Lines>
  <Paragraphs>8</Paragraphs>
  <ScaleCrop>false</ScaleCrop>
  <Company/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sgsof4</cp:lastModifiedBy>
  <cp:revision>2</cp:revision>
  <dcterms:created xsi:type="dcterms:W3CDTF">2021-10-19T13:39:00Z</dcterms:created>
  <dcterms:modified xsi:type="dcterms:W3CDTF">2021-10-19T11:39:00Z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LastSaved">
    <vt:filetime>2021-10-19T00:00:00Z</vt:filetime>
  </property>
</Properties>
</file>