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2537" w:val="left" w:leader="none"/>
        </w:tabs>
        <w:spacing w:line="230" w:lineRule="exact" w:before="28"/>
        <w:ind w:left="106" w:right="0" w:firstLine="0"/>
        <w:jc w:val="both"/>
        <w:rPr>
          <w:rFonts w:ascii="Theinhardt Regular" w:hAnsi="Theinhardt Regular" w:cs="Theinhardt Regular" w:eastAsia="Theinhardt Regular"/>
          <w:sz w:val="18"/>
          <w:szCs w:val="18"/>
        </w:rPr>
      </w:pPr>
      <w:r>
        <w:rPr/>
        <w:pict>
          <v:group style="position:absolute;margin-left:28.559pt;margin-top:13.647326pt;width:.1pt;height:.1pt;mso-position-horizontal-relative:page;mso-position-vertical-relative:paragraph;z-index:-7384" coordorigin="571,273" coordsize="2,2">
            <v:shape style="position:absolute;left:571;top:273;width:2;height:2" coordorigin="571,273" coordsize="0,0" path="m571,273l571,27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0.298004pt;margin-top:13.647326pt;width:.1pt;height:.1pt;mso-position-horizontal-relative:page;mso-position-vertical-relative:paragraph;z-index:1120" coordorigin="3006,273" coordsize="2,2">
            <v:shape style="position:absolute;left:3006;top:273;width:2;height:2" coordorigin="3006,273" coordsize="0,0" path="m3006,273l3006,27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28.559pt;margin-top:25.147326pt;width:.1pt;height:.1pt;mso-position-horizontal-relative:page;mso-position-vertical-relative:paragraph;z-index:-7336" coordorigin="571,503" coordsize="2,2">
            <v:shape style="position:absolute;left:571;top:503;width:2;height:2" coordorigin="571,503" coordsize="0,0" path="m571,503l571,50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0.298004pt;margin-top:25.147326pt;width:.1pt;height:.1pt;mso-position-horizontal-relative:page;mso-position-vertical-relative:paragraph;z-index:1168" coordorigin="3006,503" coordsize="2,2">
            <v:shape style="position:absolute;left:3006;top:503;width:2;height:2" coordorigin="3006,503" coordsize="0,0" path="m3006,503l3006,50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28.559pt;margin-top:36.647324pt;width:.1pt;height:.1pt;mso-position-horizontal-relative:page;mso-position-vertical-relative:paragraph;z-index:-7288" coordorigin="571,733" coordsize="2,2">
            <v:shape style="position:absolute;left:571;top:733;width:2;height:2" coordorigin="571,733" coordsize="0,0" path="m571,733l571,73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0.298004pt;margin-top:36.647324pt;width:.1pt;height:.1pt;mso-position-horizontal-relative:page;mso-position-vertical-relative:paragraph;z-index:1216" coordorigin="3006,733" coordsize="2,2">
            <v:shape style="position:absolute;left:3006;top:733;width:2;height:2" coordorigin="3006,733" coordsize="0,0" path="m3006,733l3006,733e" filled="false" stroked="true" strokeweight=".425pt" strokecolor="#231f20">
              <v:path arrowok="t"/>
            </v:shape>
            <w10:wrap type="none"/>
          </v:group>
        </w:pict>
      </w:r>
      <w:r>
        <w:rPr>
          <w:rFonts w:ascii="Theinhardt Heavy" w:hAnsi="Theinhardt Heavy"/>
          <w:b/>
          <w:color w:val="231F20"/>
          <w:sz w:val="18"/>
        </w:rPr>
      </w:r>
      <w:r>
        <w:rPr>
          <w:rFonts w:ascii="Theinhardt Heavy" w:hAnsi="Theinhardt Heavy"/>
          <w:b/>
          <w:color w:val="231F20"/>
          <w:sz w:val="18"/>
          <w:u w:val="dotted" w:color="231F20"/>
        </w:rPr>
        <w:t>Catégorie            </w:t>
      </w:r>
      <w:r>
        <w:rPr>
          <w:rFonts w:ascii="Theinhardt Heavy" w:hAnsi="Theinhardt Heavy"/>
          <w:b/>
          <w:color w:val="231F20"/>
          <w:spacing w:val="20"/>
          <w:sz w:val="18"/>
          <w:u w:val="dotted" w:color="231F20"/>
        </w:rPr>
        <w:t> </w:t>
      </w:r>
      <w:r>
        <w:rPr>
          <w:rFonts w:ascii="Theinhardt Heavy" w:hAnsi="Theinhardt Heavy"/>
          <w:b/>
          <w:color w:val="231F20"/>
          <w:sz w:val="18"/>
          <w:u w:val="dotted" w:color="231F20"/>
        </w:rPr>
        <w:t>B</w:t>
      </w:r>
      <w:r>
        <w:rPr>
          <w:rFonts w:ascii="Theinhardt Heavy" w:hAnsi="Theinhardt Heavy"/>
          <w:b/>
          <w:color w:val="231F20"/>
          <w:sz w:val="18"/>
          <w:u w:val="dotted" w:color="231F20"/>
        </w:rPr>
        <w:t> </w:t>
        <w:tab/>
      </w:r>
      <w:r>
        <w:rPr>
          <w:rFonts w:ascii="Theinhardt Heavy" w:hAnsi="Theinhardt Heavy"/>
          <w:b/>
          <w:color w:val="231F20"/>
          <w:sz w:val="18"/>
        </w:rPr>
      </w:r>
      <w:r>
        <w:rPr>
          <w:rFonts w:ascii="Theinhardt Heavy" w:hAnsi="Theinhardt Heavy"/>
          <w:b/>
          <w:color w:val="231F20"/>
          <w:spacing w:val="26"/>
          <w:sz w:val="18"/>
        </w:rPr>
        <w:t> </w:t>
      </w:r>
      <w:r>
        <w:rPr>
          <w:rFonts w:ascii="Theinhardt Heavy" w:hAnsi="Theinhardt Heavy"/>
          <w:b/>
          <w:color w:val="231F20"/>
          <w:sz w:val="18"/>
          <w:u w:val="dotted" w:color="231F20"/>
        </w:rPr>
        <w:t>Bâtiments:</w:t>
      </w:r>
      <w:r>
        <w:rPr>
          <w:rFonts w:ascii="Theinhardt Heavy" w:hAnsi="Theinhardt Heavy"/>
          <w:b/>
          <w:color w:val="231F20"/>
          <w:sz w:val="18"/>
          <w:u w:val="dotted" w:color="231F20"/>
        </w:rPr>
        <w:t> </w:t>
        <w:tab/>
      </w:r>
      <w:r>
        <w:rPr>
          <w:rFonts w:ascii="Theinhardt Heavy" w:hAnsi="Theinhardt Heavy"/>
          <w:b/>
          <w:color w:val="231F20"/>
          <w:sz w:val="18"/>
        </w:rPr>
      </w:r>
      <w:r>
        <w:rPr>
          <w:rFonts w:ascii="Theinhardt Heavy" w:hAnsi="Theinhardt Heavy"/>
          <w:b/>
          <w:color w:val="231F20"/>
          <w:spacing w:val="28"/>
          <w:sz w:val="18"/>
        </w:rPr>
        <w:t> </w:t>
      </w:r>
      <w:r>
        <w:rPr>
          <w:rFonts w:ascii="Theinhardt Heavy" w:hAnsi="Theinhardt Heavy"/>
          <w:b/>
          <w:color w:val="231F20"/>
          <w:sz w:val="18"/>
          <w:u w:val="dotted" w:color="231F20"/>
        </w:rPr>
        <w:t>Nouvelles constructions</w:t>
      </w:r>
      <w:r>
        <w:rPr>
          <w:rFonts w:ascii="Theinhardt Heavy" w:hAnsi="Theinhardt Heavy"/>
          <w:b/>
          <w:color w:val="231F20"/>
          <w:sz w:val="18"/>
          <w:u w:val="dotted" w:color="231F20"/>
        </w:rPr>
        <w:t>        </w:t>
      </w:r>
      <w:r>
        <w:rPr>
          <w:rFonts w:ascii="Theinhardt Heavy" w:hAnsi="Theinhardt Heavy"/>
          <w:b/>
          <w:color w:val="231F20"/>
          <w:spacing w:val="6"/>
          <w:sz w:val="18"/>
          <w:u w:val="dotted" w:color="231F20"/>
        </w:rPr>
        <w:t> </w:t>
      </w:r>
      <w:r>
        <w:rPr>
          <w:rFonts w:ascii="Theinhardt Heavy" w:hAnsi="Theinhardt Heavy"/>
          <w:b/>
          <w:color w:val="231F20"/>
          <w:spacing w:val="6"/>
          <w:sz w:val="18"/>
        </w:rPr>
      </w:r>
      <w:r>
        <w:rPr>
          <w:rFonts w:ascii="Theinhardt Heavy" w:hAnsi="Theinhardt Heavy"/>
          <w:b/>
          <w:color w:val="231F20"/>
          <w:spacing w:val="35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Prix</w:t>
      </w:r>
      <w:r>
        <w:rPr>
          <w:rFonts w:ascii="Theinhardt Regular" w:hAnsi="Theinhardt Regular"/>
          <w:color w:val="231F20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Solaire</w:t>
      </w:r>
      <w:r>
        <w:rPr>
          <w:rFonts w:ascii="Theinhardt Regular" w:hAnsi="Theinhardt Regular"/>
          <w:color w:val="231F20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Suisse</w:t>
      </w:r>
      <w:r>
        <w:rPr>
          <w:rFonts w:ascii="Theinhardt Regular" w:hAnsi="Theinhardt Regular"/>
          <w:color w:val="231F20"/>
          <w:sz w:val="18"/>
        </w:rPr>
        <w:t> 2021</w:t>
      </w:r>
      <w:r>
        <w:rPr>
          <w:rFonts w:ascii="Theinhardt Regular" w:hAnsi="Theinhardt Regular"/>
          <w:sz w:val="18"/>
        </w:rPr>
      </w:r>
    </w:p>
    <w:p>
      <w:pPr>
        <w:spacing w:line="230" w:lineRule="exact" w:before="28"/>
        <w:ind w:left="106" w:right="107" w:firstLine="0"/>
        <w:jc w:val="both"/>
        <w:rPr>
          <w:rFonts w:ascii="Theinhardt Bold" w:hAnsi="Theinhardt Bold" w:cs="Theinhardt Bold" w:eastAsia="Theinhardt Bold"/>
          <w:sz w:val="18"/>
          <w:szCs w:val="18"/>
        </w:rPr>
      </w:pPr>
      <w:r>
        <w:rPr/>
        <w:br w:type="column"/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Construit</w:t>
      </w:r>
      <w:r>
        <w:rPr>
          <w:rFonts w:ascii="Theinhardt Bold" w:hAnsi="Theinhardt Bold" w:cs="Theinhardt Bold" w:eastAsia="Theinhardt Bold"/>
          <w:b/>
          <w:bCs/>
          <w:color w:val="0C1C23"/>
          <w:spacing w:val="-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en</w:t>
      </w:r>
      <w:r>
        <w:rPr>
          <w:rFonts w:ascii="Theinhardt Bold" w:hAnsi="Theinhardt Bold" w:cs="Theinhardt Bold" w:eastAsia="Theinhardt Bold"/>
          <w:b/>
          <w:bCs/>
          <w:color w:val="0C1C23"/>
          <w:spacing w:val="-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2020</w:t>
      </w:r>
      <w:r>
        <w:rPr>
          <w:rFonts w:ascii="Theinhardt Bold" w:hAnsi="Theinhardt Bold" w:cs="Theinhardt Bold" w:eastAsia="Theinhardt Bold"/>
          <w:b/>
          <w:bCs/>
          <w:color w:val="0C1C23"/>
          <w:spacing w:val="-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et</w:t>
      </w:r>
      <w:r>
        <w:rPr>
          <w:rFonts w:ascii="Theinhardt Bold" w:hAnsi="Theinhardt Bold" w:cs="Theinhardt Bold" w:eastAsia="Theinhardt Bold"/>
          <w:b/>
          <w:bCs/>
          <w:color w:val="0C1C23"/>
          <w:spacing w:val="-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abritant</w:t>
      </w:r>
      <w:r>
        <w:rPr>
          <w:rFonts w:ascii="Theinhardt Bold" w:hAnsi="Theinhardt Bold" w:cs="Theinhardt Bold" w:eastAsia="Theinhardt Bold"/>
          <w:b/>
          <w:bCs/>
          <w:color w:val="0C1C23"/>
          <w:spacing w:val="-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neuf</w:t>
      </w:r>
      <w:r>
        <w:rPr>
          <w:rFonts w:ascii="Theinhardt Bold" w:hAnsi="Theinhardt Bold" w:cs="Theinhardt Bold" w:eastAsia="Theinhardt Bold"/>
          <w:b/>
          <w:bCs/>
          <w:color w:val="0C1C23"/>
          <w:spacing w:val="-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appartements,</w:t>
      </w:r>
      <w:r>
        <w:rPr>
          <w:rFonts w:ascii="Theinhardt Bold" w:hAnsi="Theinhardt Bold" w:cs="Theinhardt Bold" w:eastAsia="Theinhardt Bold"/>
          <w:b/>
          <w:bCs/>
          <w:color w:val="0C1C23"/>
          <w:spacing w:val="-2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l’immeuble</w:t>
      </w:r>
      <w:r>
        <w:rPr>
          <w:rFonts w:ascii="Theinhardt Bold" w:hAnsi="Theinhardt Bold" w:cs="Theinhardt Bold" w:eastAsia="Theinhardt Bold"/>
          <w:b/>
          <w:bCs/>
          <w:color w:val="0C1C23"/>
          <w:spacing w:val="-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Sakura,</w:t>
      </w:r>
      <w:r>
        <w:rPr>
          <w:rFonts w:ascii="Theinhardt Bold" w:hAnsi="Theinhardt Bold" w:cs="Theinhardt Bold" w:eastAsia="Theinhardt Bold"/>
          <w:b/>
          <w:bCs/>
          <w:color w:val="0C1C23"/>
          <w:spacing w:val="-2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z w:val="18"/>
          <w:szCs w:val="18"/>
        </w:rPr>
        <w:t>à</w:t>
      </w:r>
      <w:r>
        <w:rPr>
          <w:rFonts w:ascii="Theinhardt Bold" w:hAnsi="Theinhardt Bold" w:cs="Theinhardt Bold" w:eastAsia="Theinhardt Bold"/>
          <w:b/>
          <w:bCs/>
          <w:color w:val="0C1C23"/>
          <w:spacing w:val="-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Sion</w:t>
      </w:r>
      <w:r>
        <w:rPr>
          <w:rFonts w:ascii="Theinhardt Bold" w:hAnsi="Theinhardt Bold" w:cs="Theinhardt Bold" w:eastAsia="Theinhardt Bold"/>
          <w:b/>
          <w:bCs/>
          <w:color w:val="0C1C23"/>
          <w:spacing w:val="-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(VS),</w:t>
      </w:r>
      <w:r>
        <w:rPr>
          <w:rFonts w:ascii="Theinhardt Bold" w:hAnsi="Theinhardt Bold" w:cs="Theinhardt Bold" w:eastAsia="Theinhardt Bold"/>
          <w:b/>
          <w:bCs/>
          <w:color w:val="0C1C23"/>
          <w:spacing w:val="-2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se</w:t>
      </w:r>
      <w:r>
        <w:rPr>
          <w:rFonts w:ascii="Theinhardt Bold" w:hAnsi="Theinhardt Bold" w:cs="Theinhardt Bold" w:eastAsia="Theinhardt Bold"/>
          <w:b/>
          <w:bCs/>
          <w:color w:val="0C1C23"/>
          <w:spacing w:val="-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distingue</w:t>
      </w:r>
      <w:r>
        <w:rPr>
          <w:rFonts w:ascii="Theinhardt Bold" w:hAnsi="Theinhardt Bold" w:cs="Theinhardt Bold" w:eastAsia="Theinhardt Bold"/>
          <w:b/>
          <w:bCs/>
          <w:color w:val="0C1C23"/>
          <w:spacing w:val="-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z w:val="18"/>
          <w:szCs w:val="18"/>
        </w:rPr>
        <w:t>par</w:t>
      </w:r>
      <w:r>
        <w:rPr>
          <w:rFonts w:ascii="Theinhardt Bold" w:hAnsi="Theinhardt Bold" w:cs="Theinhardt Bold" w:eastAsia="Theinhardt Bold"/>
          <w:b/>
          <w:bCs/>
          <w:color w:val="0C1C23"/>
          <w:spacing w:val="7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son</w:t>
      </w:r>
      <w:r>
        <w:rPr>
          <w:rFonts w:ascii="Theinhardt Bold" w:hAnsi="Theinhardt Bold" w:cs="Theinhardt Bold" w:eastAsia="Theinhardt Bold"/>
          <w:b/>
          <w:bCs/>
          <w:color w:val="0C1C23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architecture</w:t>
      </w:r>
      <w:r>
        <w:rPr>
          <w:rFonts w:ascii="Theinhardt Bold" w:hAnsi="Theinhardt Bold" w:cs="Theinhardt Bold" w:eastAsia="Theinhardt Bold"/>
          <w:b/>
          <w:bCs/>
          <w:color w:val="0C1C23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très</w:t>
      </w:r>
      <w:r>
        <w:rPr>
          <w:rFonts w:ascii="Theinhardt Bold" w:hAnsi="Theinhardt Bold" w:cs="Theinhardt Bold" w:eastAsia="Theinhardt Bold"/>
          <w:b/>
          <w:bCs/>
          <w:color w:val="0C1C23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attrayante.</w:t>
      </w:r>
      <w:r>
        <w:rPr>
          <w:rFonts w:ascii="Theinhardt Bold" w:hAnsi="Theinhardt Bold" w:cs="Theinhardt Bold" w:eastAsia="Theinhardt Bold"/>
          <w:b/>
          <w:bCs/>
          <w:color w:val="0C1C23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z w:val="18"/>
          <w:szCs w:val="18"/>
        </w:rPr>
        <w:t>Cette</w:t>
      </w:r>
      <w:r>
        <w:rPr>
          <w:rFonts w:ascii="Theinhardt Bold" w:hAnsi="Theinhardt Bold" w:cs="Theinhardt Bold" w:eastAsia="Theinhardt Bold"/>
          <w:b/>
          <w:bCs/>
          <w:color w:val="0C1C23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nouvelle</w:t>
      </w:r>
      <w:r>
        <w:rPr>
          <w:rFonts w:ascii="Theinhardt Bold" w:hAnsi="Theinhardt Bold" w:cs="Theinhardt Bold" w:eastAsia="Theinhardt Bold"/>
          <w:b/>
          <w:bCs/>
          <w:color w:val="0C1C23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construction</w:t>
      </w:r>
      <w:r>
        <w:rPr>
          <w:rFonts w:ascii="Theinhardt Bold" w:hAnsi="Theinhardt Bold" w:cs="Theinhardt Bold" w:eastAsia="Theinhardt Bold"/>
          <w:b/>
          <w:bCs/>
          <w:color w:val="0C1C23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moderne</w:t>
      </w:r>
      <w:r>
        <w:rPr>
          <w:rFonts w:ascii="Theinhardt Bold" w:hAnsi="Theinhardt Bold" w:cs="Theinhardt Bold" w:eastAsia="Theinhardt Bold"/>
          <w:b/>
          <w:bCs/>
          <w:color w:val="0C1C23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z w:val="18"/>
          <w:szCs w:val="18"/>
        </w:rPr>
        <w:t>à</w:t>
      </w:r>
      <w:r>
        <w:rPr>
          <w:rFonts w:ascii="Theinhardt Bold" w:hAnsi="Theinhardt Bold" w:cs="Theinhardt Bold" w:eastAsia="Theinhardt Bold"/>
          <w:b/>
          <w:bCs/>
          <w:color w:val="0C1C23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ossature</w:t>
      </w:r>
      <w:r>
        <w:rPr>
          <w:rFonts w:ascii="Theinhardt Bold" w:hAnsi="Theinhardt Bold" w:cs="Theinhardt Bold" w:eastAsia="Theinhardt Bold"/>
          <w:b/>
          <w:bCs/>
          <w:color w:val="0C1C23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bois</w:t>
      </w:r>
      <w:r>
        <w:rPr>
          <w:rFonts w:ascii="Theinhardt Bold" w:hAnsi="Theinhardt Bold" w:cs="Theinhardt Bold" w:eastAsia="Theinhardt Bold"/>
          <w:b/>
          <w:bCs/>
          <w:color w:val="0C1C23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répond</w:t>
      </w:r>
      <w:r>
        <w:rPr>
          <w:rFonts w:ascii="Theinhardt Bold" w:hAnsi="Theinhardt Bold" w:cs="Theinhardt Bold" w:eastAsia="Theinhardt Bold"/>
          <w:b/>
          <w:bCs/>
          <w:color w:val="0C1C23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au</w:t>
      </w:r>
      <w:r>
        <w:rPr>
          <w:rFonts w:ascii="Theinhardt Bold" w:hAnsi="Theinhardt Bold" w:cs="Theinhardt Bold" w:eastAsia="Theinhardt Bold"/>
          <w:b/>
          <w:bCs/>
          <w:color w:val="0C1C23"/>
          <w:spacing w:val="6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standard</w:t>
      </w:r>
      <w:r>
        <w:rPr>
          <w:rFonts w:ascii="Theinhardt Bold" w:hAnsi="Theinhardt Bold" w:cs="Theinhardt Bold" w:eastAsia="Theinhardt Bold"/>
          <w:b/>
          <w:bCs/>
          <w:color w:val="0C1C23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Minergie-P-ECO.</w:t>
      </w:r>
      <w:r>
        <w:rPr>
          <w:rFonts w:ascii="Theinhardt Bold" w:hAnsi="Theinhardt Bold" w:cs="Theinhardt Bold" w:eastAsia="Theinhardt Bold"/>
          <w:b/>
          <w:bCs/>
          <w:color w:val="0C1C23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Une</w:t>
      </w:r>
      <w:r>
        <w:rPr>
          <w:rFonts w:ascii="Theinhardt Bold" w:hAnsi="Theinhardt Bold" w:cs="Theinhardt Bold" w:eastAsia="Theinhardt Bold"/>
          <w:b/>
          <w:bCs/>
          <w:color w:val="0C1C23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excellente</w:t>
      </w:r>
      <w:r>
        <w:rPr>
          <w:rFonts w:ascii="Theinhardt Bold" w:hAnsi="Theinhardt Bold" w:cs="Theinhardt Bold" w:eastAsia="Theinhardt Bold"/>
          <w:b/>
          <w:bCs/>
          <w:color w:val="0C1C23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isolation</w:t>
      </w:r>
      <w:r>
        <w:rPr>
          <w:rFonts w:ascii="Theinhardt Bold" w:hAnsi="Theinhardt Bold" w:cs="Theinhardt Bold" w:eastAsia="Theinhardt Bold"/>
          <w:b/>
          <w:bCs/>
          <w:color w:val="0C1C23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de</w:t>
      </w:r>
      <w:r>
        <w:rPr>
          <w:rFonts w:ascii="Theinhardt Bold" w:hAnsi="Theinhardt Bold" w:cs="Theinhardt Bold" w:eastAsia="Theinhardt Bold"/>
          <w:b/>
          <w:bCs/>
          <w:color w:val="0C1C23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24</w:t>
      </w:r>
      <w:r>
        <w:rPr>
          <w:rFonts w:ascii="Theinhardt Bold" w:hAnsi="Theinhardt Bold" w:cs="Theinhardt Bold" w:eastAsia="Theinhardt Bold"/>
          <w:b/>
          <w:bCs/>
          <w:color w:val="0C1C23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z w:val="18"/>
          <w:szCs w:val="18"/>
        </w:rPr>
        <w:t>à</w:t>
      </w:r>
      <w:r>
        <w:rPr>
          <w:rFonts w:ascii="Theinhardt Bold" w:hAnsi="Theinhardt Bold" w:cs="Theinhardt Bold" w:eastAsia="Theinhardt Bold"/>
          <w:b/>
          <w:bCs/>
          <w:color w:val="0C1C23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40</w:t>
      </w:r>
      <w:r>
        <w:rPr>
          <w:rFonts w:ascii="Theinhardt Bold" w:hAnsi="Theinhardt Bold" w:cs="Theinhardt Bold" w:eastAsia="Theinhardt Bold"/>
          <w:b/>
          <w:bCs/>
          <w:color w:val="0C1C23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z w:val="18"/>
          <w:szCs w:val="18"/>
        </w:rPr>
        <w:t>cm</w:t>
      </w:r>
      <w:r>
        <w:rPr>
          <w:rFonts w:ascii="Theinhardt Bold" w:hAnsi="Theinhardt Bold" w:cs="Theinhardt Bold" w:eastAsia="Theinhardt Bold"/>
          <w:b/>
          <w:bCs/>
          <w:color w:val="0C1C23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d’épaisseur</w:t>
      </w:r>
      <w:r>
        <w:rPr>
          <w:rFonts w:ascii="Theinhardt Bold" w:hAnsi="Theinhardt Bold" w:cs="Theinhardt Bold" w:eastAsia="Theinhardt Bold"/>
          <w:b/>
          <w:bCs/>
          <w:color w:val="0C1C23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avec</w:t>
      </w:r>
      <w:r>
        <w:rPr>
          <w:rFonts w:ascii="Theinhardt Bold" w:hAnsi="Theinhardt Bold" w:cs="Theinhardt Bold" w:eastAsia="Theinhardt Bold"/>
          <w:b/>
          <w:bCs/>
          <w:color w:val="0C1C23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des</w:t>
      </w:r>
      <w:r>
        <w:rPr>
          <w:rFonts w:ascii="Theinhardt Bold" w:hAnsi="Theinhardt Bold" w:cs="Theinhardt Bold" w:eastAsia="Theinhardt Bold"/>
          <w:b/>
          <w:bCs/>
          <w:color w:val="0C1C23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valeurs</w:t>
      </w:r>
      <w:r>
        <w:rPr>
          <w:rFonts w:ascii="Theinhardt Bold" w:hAnsi="Theinhardt Bold" w:cs="Theinhardt Bold" w:eastAsia="Theinhardt Bold"/>
          <w:b/>
          <w:bCs/>
          <w:color w:val="0C1C23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z w:val="18"/>
          <w:szCs w:val="18"/>
        </w:rPr>
        <w:t>U</w:t>
      </w:r>
      <w:r>
        <w:rPr>
          <w:rFonts w:ascii="Theinhardt Bold" w:hAnsi="Theinhardt Bold" w:cs="Theinhardt Bold" w:eastAsia="Theinhardt Bold"/>
          <w:b/>
          <w:bCs/>
          <w:color w:val="0C1C23"/>
          <w:spacing w:val="6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exemplaires</w:t>
      </w:r>
      <w:r>
        <w:rPr>
          <w:rFonts w:ascii="Theinhardt Bold" w:hAnsi="Theinhardt Bold" w:cs="Theinhardt Bold" w:eastAsia="Theinhardt Bold"/>
          <w:b/>
          <w:bCs/>
          <w:color w:val="0C1C23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de</w:t>
      </w:r>
      <w:r>
        <w:rPr>
          <w:rFonts w:ascii="Theinhardt Bold" w:hAnsi="Theinhardt Bold" w:cs="Theinhardt Bold" w:eastAsia="Theinhardt Bold"/>
          <w:b/>
          <w:bCs/>
          <w:color w:val="0C1C23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0,07</w:t>
      </w:r>
      <w:r>
        <w:rPr>
          <w:rFonts w:ascii="Theinhardt Bold" w:hAnsi="Theinhardt Bold" w:cs="Theinhardt Bold" w:eastAsia="Theinhardt Bold"/>
          <w:b/>
          <w:bCs/>
          <w:color w:val="0C1C23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z w:val="18"/>
          <w:szCs w:val="18"/>
        </w:rPr>
        <w:t>à</w:t>
      </w:r>
      <w:r>
        <w:rPr>
          <w:rFonts w:ascii="Theinhardt Bold" w:hAnsi="Theinhardt Bold" w:cs="Theinhardt Bold" w:eastAsia="Theinhardt Bold"/>
          <w:b/>
          <w:bCs/>
          <w:color w:val="0C1C23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0,11</w:t>
      </w:r>
      <w:r>
        <w:rPr>
          <w:rFonts w:ascii="Theinhardt Bold" w:hAnsi="Theinhardt Bold" w:cs="Theinhardt Bold" w:eastAsia="Theinhardt Bold"/>
          <w:b/>
          <w:bCs/>
          <w:color w:val="0C1C23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3"/>
          <w:sz w:val="18"/>
          <w:szCs w:val="18"/>
        </w:rPr>
        <w:t>W/m</w:t>
      </w:r>
      <w:r>
        <w:rPr>
          <w:rFonts w:ascii="Theinhardt Bold" w:hAnsi="Theinhardt Bold" w:cs="Theinhardt Bold" w:eastAsia="Theinhardt Bold"/>
          <w:b/>
          <w:bCs/>
          <w:color w:val="0C1C23"/>
          <w:spacing w:val="-3"/>
          <w:position w:val="6"/>
          <w:sz w:val="10"/>
          <w:szCs w:val="10"/>
        </w:rPr>
        <w:t>2</w:t>
      </w:r>
      <w:r>
        <w:rPr>
          <w:rFonts w:ascii="Theinhardt Bold" w:hAnsi="Theinhardt Bold" w:cs="Theinhardt Bold" w:eastAsia="Theinhardt Bold"/>
          <w:b/>
          <w:bCs/>
          <w:color w:val="0C1C23"/>
          <w:spacing w:val="-3"/>
          <w:sz w:val="18"/>
          <w:szCs w:val="18"/>
        </w:rPr>
        <w:t>K,</w:t>
      </w:r>
      <w:r>
        <w:rPr>
          <w:rFonts w:ascii="Theinhardt Bold" w:hAnsi="Theinhardt Bold" w:cs="Theinhardt Bold" w:eastAsia="Theinhardt Bold"/>
          <w:b/>
          <w:bCs/>
          <w:color w:val="0C1C23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de</w:t>
      </w:r>
      <w:r>
        <w:rPr>
          <w:rFonts w:ascii="Theinhardt Bold" w:hAnsi="Theinhardt Bold" w:cs="Theinhardt Bold" w:eastAsia="Theinhardt Bold"/>
          <w:b/>
          <w:bCs/>
          <w:color w:val="0C1C23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l’électroménager</w:t>
      </w:r>
      <w:r>
        <w:rPr>
          <w:rFonts w:ascii="Theinhardt Bold" w:hAnsi="Theinhardt Bold" w:cs="Theinhardt Bold" w:eastAsia="Theinhardt Bold"/>
          <w:b/>
          <w:bCs/>
          <w:color w:val="0C1C23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ef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fi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cient</w:t>
      </w:r>
      <w:r>
        <w:rPr>
          <w:rFonts w:ascii="Theinhardt Bold" w:hAnsi="Theinhardt Bold" w:cs="Theinhardt Bold" w:eastAsia="Theinhardt Bold"/>
          <w:b/>
          <w:bCs/>
          <w:color w:val="0C1C23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et</w:t>
      </w:r>
      <w:r>
        <w:rPr>
          <w:rFonts w:ascii="Theinhardt Bold" w:hAnsi="Theinhardt Bold" w:cs="Theinhardt Bold" w:eastAsia="Theinhardt Bold"/>
          <w:b/>
          <w:bCs/>
          <w:color w:val="0C1C23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un</w:t>
      </w:r>
      <w:r>
        <w:rPr>
          <w:rFonts w:ascii="Theinhardt Bold" w:hAnsi="Theinhardt Bold" w:cs="Theinhardt Bold" w:eastAsia="Theinhardt Bold"/>
          <w:b/>
          <w:bCs/>
          <w:color w:val="0C1C23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éclairage</w:t>
      </w:r>
      <w:r>
        <w:rPr>
          <w:rFonts w:ascii="Theinhardt Bold" w:hAnsi="Theinhardt Bold" w:cs="Theinhardt Bold" w:eastAsia="Theinhardt Bold"/>
          <w:b/>
          <w:bCs/>
          <w:color w:val="0C1C23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LED</w:t>
      </w:r>
      <w:r>
        <w:rPr>
          <w:rFonts w:ascii="Theinhardt Bold" w:hAnsi="Theinhardt Bold" w:cs="Theinhardt Bold" w:eastAsia="Theinhardt Bold"/>
          <w:b/>
          <w:bCs/>
          <w:color w:val="0C1C23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limitent</w:t>
      </w:r>
      <w:r>
        <w:rPr>
          <w:rFonts w:ascii="Theinhardt Bold" w:hAnsi="Theinhardt Bold" w:cs="Theinhardt Bold" w:eastAsia="Theinhardt Bold"/>
          <w:b/>
          <w:bCs/>
          <w:color w:val="0C1C23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les</w:t>
      </w:r>
      <w:r>
        <w:rPr>
          <w:rFonts w:ascii="Theinhardt Bold" w:hAnsi="Theinhardt Bold" w:cs="Theinhardt Bold" w:eastAsia="Theinhardt Bold"/>
          <w:b/>
          <w:bCs/>
          <w:color w:val="0C1C23"/>
          <w:spacing w:val="5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besoins</w:t>
      </w:r>
      <w:r>
        <w:rPr>
          <w:rFonts w:ascii="Theinhardt Bold" w:hAnsi="Theinhardt Bold" w:cs="Theinhardt Bold" w:eastAsia="Theinhardt Bold"/>
          <w:b/>
          <w:bCs/>
          <w:color w:val="0C1C23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en</w:t>
      </w:r>
      <w:r>
        <w:rPr>
          <w:rFonts w:ascii="Theinhardt Bold" w:hAnsi="Theinhardt Bold" w:cs="Theinhardt Bold" w:eastAsia="Theinhardt Bold"/>
          <w:b/>
          <w:bCs/>
          <w:color w:val="0C1C23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énergie</w:t>
      </w:r>
      <w:r>
        <w:rPr>
          <w:rFonts w:ascii="Theinhardt Bold" w:hAnsi="Theinhardt Bold" w:cs="Theinhardt Bold" w:eastAsia="Theinhardt Bold"/>
          <w:b/>
          <w:bCs/>
          <w:color w:val="0C1C23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z w:val="18"/>
          <w:szCs w:val="18"/>
        </w:rPr>
        <w:t>à</w:t>
      </w:r>
      <w:r>
        <w:rPr>
          <w:rFonts w:ascii="Theinhardt Bold" w:hAnsi="Theinhardt Bold" w:cs="Theinhardt Bold" w:eastAsia="Theinhardt Bold"/>
          <w:b/>
          <w:bCs/>
          <w:color w:val="0C1C23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75’400</w:t>
      </w:r>
      <w:r>
        <w:rPr>
          <w:rFonts w:ascii="Theinhardt Bold" w:hAnsi="Theinhardt Bold" w:cs="Theinhardt Bold" w:eastAsia="Theinhardt Bold"/>
          <w:b/>
          <w:bCs/>
          <w:color w:val="0C1C23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3"/>
          <w:sz w:val="18"/>
          <w:szCs w:val="18"/>
        </w:rPr>
        <w:t>kWh/a.</w:t>
      </w:r>
      <w:r>
        <w:rPr>
          <w:rFonts w:ascii="Theinhardt Bold" w:hAnsi="Theinhardt Bold" w:cs="Theinhardt Bold" w:eastAsia="Theinhardt Bold"/>
          <w:b/>
          <w:bCs/>
          <w:color w:val="0C1C23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z w:val="18"/>
          <w:szCs w:val="18"/>
        </w:rPr>
        <w:t>Sur</w:t>
      </w:r>
      <w:r>
        <w:rPr>
          <w:rFonts w:ascii="Theinhardt Bold" w:hAnsi="Theinhardt Bold" w:cs="Theinhardt Bold" w:eastAsia="Theinhardt Bold"/>
          <w:b/>
          <w:bCs/>
          <w:color w:val="0C1C23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le</w:t>
      </w:r>
      <w:r>
        <w:rPr>
          <w:rFonts w:ascii="Theinhardt Bold" w:hAnsi="Theinhardt Bold" w:cs="Theinhardt Bold" w:eastAsia="Theinhardt Bold"/>
          <w:b/>
          <w:bCs/>
          <w:color w:val="0C1C23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z w:val="18"/>
          <w:szCs w:val="18"/>
        </w:rPr>
        <w:t>toit,</w:t>
      </w:r>
      <w:r>
        <w:rPr>
          <w:rFonts w:ascii="Theinhardt Bold" w:hAnsi="Theinhardt Bold" w:cs="Theinhardt Bold" w:eastAsia="Theinhardt Bold"/>
          <w:b/>
          <w:bCs/>
          <w:color w:val="0C1C23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l’installation</w:t>
      </w:r>
      <w:r>
        <w:rPr>
          <w:rFonts w:ascii="Theinhardt Bold" w:hAnsi="Theinhardt Bold" w:cs="Theinhardt Bold" w:eastAsia="Theinhardt Bold"/>
          <w:b/>
          <w:bCs/>
          <w:color w:val="0C1C23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1"/>
          <w:sz w:val="18"/>
          <w:szCs w:val="18"/>
        </w:rPr>
        <w:t>PV</w:t>
      </w:r>
      <w:r>
        <w:rPr>
          <w:rFonts w:ascii="Theinhardt Bold" w:hAnsi="Theinhardt Bold" w:cs="Theinhardt Bold" w:eastAsia="Theinhardt Bold"/>
          <w:b/>
          <w:bCs/>
          <w:color w:val="0C1C23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de</w:t>
      </w:r>
      <w:r>
        <w:rPr>
          <w:rFonts w:ascii="Theinhardt Bold" w:hAnsi="Theinhardt Bold" w:cs="Theinhardt Bold" w:eastAsia="Theinhardt Bold"/>
          <w:b/>
          <w:bCs/>
          <w:color w:val="0C1C23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27,3</w:t>
      </w:r>
      <w:r>
        <w:rPr>
          <w:rFonts w:ascii="Theinhardt Bold" w:hAnsi="Theinhardt Bold" w:cs="Theinhardt Bold" w:eastAsia="Theinhardt Bold"/>
          <w:b/>
          <w:bCs/>
          <w:color w:val="0C1C23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kW</w:t>
      </w:r>
      <w:r>
        <w:rPr>
          <w:rFonts w:ascii="Theinhardt Bold" w:hAnsi="Theinhardt Bold" w:cs="Theinhardt Bold" w:eastAsia="Theinhardt Bold"/>
          <w:b/>
          <w:bCs/>
          <w:color w:val="0C1C23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orientée</w:t>
      </w:r>
      <w:r>
        <w:rPr>
          <w:rFonts w:ascii="Theinhardt Bold" w:hAnsi="Theinhardt Bold" w:cs="Theinhardt Bold" w:eastAsia="Theinhardt Bold"/>
          <w:b/>
          <w:bCs/>
          <w:color w:val="0C1C23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est-ouest</w:t>
      </w:r>
      <w:r>
        <w:rPr>
          <w:rFonts w:ascii="Theinhardt Bold" w:hAnsi="Theinhardt Bold" w:cs="Theinhardt Bold" w:eastAsia="Theinhardt Bold"/>
          <w:b/>
          <w:bCs/>
          <w:color w:val="0C1C23"/>
          <w:spacing w:val="5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génère</w:t>
      </w:r>
      <w:r>
        <w:rPr>
          <w:rFonts w:ascii="Theinhardt Bold" w:hAnsi="Theinhardt Bold" w:cs="Theinhardt Bold" w:eastAsia="Theinhardt Bold"/>
          <w:b/>
          <w:bCs/>
          <w:color w:val="0C1C23"/>
          <w:spacing w:val="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32’500</w:t>
      </w:r>
      <w:r>
        <w:rPr>
          <w:rFonts w:ascii="Theinhardt Bold" w:hAnsi="Theinhardt Bold" w:cs="Theinhardt Bold" w:eastAsia="Theinhardt Bold"/>
          <w:b/>
          <w:bCs/>
          <w:color w:val="0C1C23"/>
          <w:spacing w:val="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3"/>
          <w:sz w:val="18"/>
          <w:szCs w:val="18"/>
        </w:rPr>
        <w:t>kWh/a.</w:t>
      </w:r>
      <w:r>
        <w:rPr>
          <w:rFonts w:ascii="Theinhardt Bold" w:hAnsi="Theinhardt Bold" w:cs="Theinhardt Bold" w:eastAsia="Theinhardt Bold"/>
          <w:b/>
          <w:bCs/>
          <w:color w:val="0C1C23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z w:val="18"/>
          <w:szCs w:val="18"/>
        </w:rPr>
        <w:t>Les</w:t>
      </w:r>
      <w:r>
        <w:rPr>
          <w:rFonts w:ascii="Theinhardt Bold" w:hAnsi="Theinhardt Bold" w:cs="Theinhardt Bold" w:eastAsia="Theinhardt Bold"/>
          <w:b/>
          <w:bCs/>
          <w:color w:val="0C1C23"/>
          <w:spacing w:val="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21’000</w:t>
      </w:r>
      <w:r>
        <w:rPr>
          <w:rFonts w:ascii="Theinhardt Bold" w:hAnsi="Theinhardt Bold" w:cs="Theinhardt Bold" w:eastAsia="Theinhardt Bold"/>
          <w:b/>
          <w:bCs/>
          <w:color w:val="0C1C23"/>
          <w:spacing w:val="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3"/>
          <w:sz w:val="18"/>
          <w:szCs w:val="18"/>
        </w:rPr>
        <w:t>kWh/a</w:t>
      </w:r>
      <w:r>
        <w:rPr>
          <w:rFonts w:ascii="Theinhardt Bold" w:hAnsi="Theinhardt Bold" w:cs="Theinhardt Bold" w:eastAsia="Theinhardt Bold"/>
          <w:b/>
          <w:bCs/>
          <w:color w:val="0C1C23"/>
          <w:spacing w:val="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fournis</w:t>
      </w:r>
      <w:r>
        <w:rPr>
          <w:rFonts w:ascii="Theinhardt Bold" w:hAnsi="Theinhardt Bold" w:cs="Theinhardt Bold" w:eastAsia="Theinhardt Bold"/>
          <w:b/>
          <w:bCs/>
          <w:color w:val="0C1C23"/>
          <w:spacing w:val="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z w:val="18"/>
          <w:szCs w:val="18"/>
        </w:rPr>
        <w:t>par</w:t>
      </w:r>
      <w:r>
        <w:rPr>
          <w:rFonts w:ascii="Theinhardt Bold" w:hAnsi="Theinhardt Bold" w:cs="Theinhardt Bold" w:eastAsia="Theinhardt Bold"/>
          <w:b/>
          <w:bCs/>
          <w:color w:val="0C1C23"/>
          <w:spacing w:val="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le</w:t>
      </w:r>
      <w:r>
        <w:rPr>
          <w:rFonts w:ascii="Theinhardt Bold" w:hAnsi="Theinhardt Bold" w:cs="Theinhardt Bold" w:eastAsia="Theinhardt Bold"/>
          <w:b/>
          <w:bCs/>
          <w:color w:val="0C1C23"/>
          <w:spacing w:val="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système</w:t>
      </w:r>
      <w:r>
        <w:rPr>
          <w:rFonts w:ascii="Theinhardt Bold" w:hAnsi="Theinhardt Bold" w:cs="Theinhardt Bold" w:eastAsia="Theinhardt Bold"/>
          <w:b/>
          <w:bCs/>
          <w:color w:val="0C1C23"/>
          <w:spacing w:val="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solaire</w:t>
      </w:r>
      <w:r>
        <w:rPr>
          <w:rFonts w:ascii="Theinhardt Bold" w:hAnsi="Theinhardt Bold" w:cs="Theinhardt Bold" w:eastAsia="Theinhardt Bold"/>
          <w:b/>
          <w:bCs/>
          <w:color w:val="0C1C23"/>
          <w:spacing w:val="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thermique</w:t>
      </w:r>
      <w:r>
        <w:rPr>
          <w:rFonts w:ascii="Theinhardt Bold" w:hAnsi="Theinhardt Bold" w:cs="Theinhardt Bold" w:eastAsia="Theinhardt Bold"/>
          <w:b/>
          <w:bCs/>
          <w:color w:val="0C1C23"/>
          <w:spacing w:val="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intégré</w:t>
      </w:r>
      <w:r>
        <w:rPr>
          <w:rFonts w:ascii="Theinhardt Bold" w:hAnsi="Theinhardt Bold" w:cs="Theinhardt Bold" w:eastAsia="Theinhardt Bold"/>
          <w:b/>
          <w:bCs/>
          <w:color w:val="0C1C23"/>
          <w:spacing w:val="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z w:val="18"/>
          <w:szCs w:val="18"/>
        </w:rPr>
        <w:t>à</w:t>
      </w:r>
      <w:r>
        <w:rPr>
          <w:rFonts w:ascii="Theinhardt Bold" w:hAnsi="Theinhardt Bold" w:cs="Theinhardt Bold" w:eastAsia="Theinhardt Bold"/>
          <w:b/>
          <w:bCs/>
          <w:color w:val="0C1C23"/>
          <w:spacing w:val="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z w:val="18"/>
          <w:szCs w:val="18"/>
        </w:rPr>
        <w:t>la</w:t>
      </w:r>
      <w:r>
        <w:rPr>
          <w:rFonts w:ascii="Theinhardt Bold" w:hAnsi="Theinhardt Bold" w:cs="Theinhardt Bold" w:eastAsia="Theinhardt Bold"/>
          <w:b/>
          <w:bCs/>
          <w:color w:val="0C1C23"/>
          <w:spacing w:val="3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façade</w:t>
      </w:r>
      <w:r>
        <w:rPr>
          <w:rFonts w:ascii="Theinhardt Bold" w:hAnsi="Theinhardt Bold" w:cs="Theinhardt Bold" w:eastAsia="Theinhardt Bold"/>
          <w:b/>
          <w:bCs/>
          <w:color w:val="0C1C23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sud</w:t>
      </w:r>
      <w:r>
        <w:rPr>
          <w:rFonts w:ascii="Theinhardt Bold" w:hAnsi="Theinhardt Bold" w:cs="Theinhardt Bold" w:eastAsia="Theinhardt Bold"/>
          <w:b/>
          <w:bCs/>
          <w:color w:val="0C1C23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servent</w:t>
      </w:r>
      <w:r>
        <w:rPr>
          <w:rFonts w:ascii="Theinhardt Bold" w:hAnsi="Theinhardt Bold" w:cs="Theinhardt Bold" w:eastAsia="Theinhardt Bold"/>
          <w:b/>
          <w:bCs/>
          <w:color w:val="0C1C23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d’appoint</w:t>
      </w:r>
      <w:r>
        <w:rPr>
          <w:rFonts w:ascii="Theinhardt Bold" w:hAnsi="Theinhardt Bold" w:cs="Theinhardt Bold" w:eastAsia="Theinhardt Bold"/>
          <w:b/>
          <w:bCs/>
          <w:color w:val="0C1C23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pour</w:t>
      </w:r>
      <w:r>
        <w:rPr>
          <w:rFonts w:ascii="Theinhardt Bold" w:hAnsi="Theinhardt Bold" w:cs="Theinhardt Bold" w:eastAsia="Theinhardt Bold"/>
          <w:b/>
          <w:bCs/>
          <w:color w:val="0C1C23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le</w:t>
      </w:r>
      <w:r>
        <w:rPr>
          <w:rFonts w:ascii="Theinhardt Bold" w:hAnsi="Theinhardt Bold" w:cs="Theinhardt Bold" w:eastAsia="Theinhardt Bold"/>
          <w:b/>
          <w:bCs/>
          <w:color w:val="0C1C23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chauffage.</w:t>
      </w:r>
      <w:r>
        <w:rPr>
          <w:rFonts w:ascii="Theinhardt Bold" w:hAnsi="Theinhardt Bold" w:cs="Theinhardt Bold" w:eastAsia="Theinhardt Bold"/>
          <w:b/>
          <w:bCs/>
          <w:color w:val="0C1C23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Avec</w:t>
      </w:r>
      <w:r>
        <w:rPr>
          <w:rFonts w:ascii="Theinhardt Bold" w:hAnsi="Theinhardt Bold" w:cs="Theinhardt Bold" w:eastAsia="Theinhardt Bold"/>
          <w:b/>
          <w:bCs/>
          <w:color w:val="0C1C23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53’500</w:t>
      </w:r>
      <w:r>
        <w:rPr>
          <w:rFonts w:ascii="Theinhardt Bold" w:hAnsi="Theinhardt Bold" w:cs="Theinhardt Bold" w:eastAsia="Theinhardt Bold"/>
          <w:b/>
          <w:bCs/>
          <w:color w:val="0C1C23"/>
          <w:spacing w:val="-3"/>
          <w:sz w:val="18"/>
          <w:szCs w:val="18"/>
        </w:rPr>
        <w:t> kWh/a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au</w:t>
      </w:r>
      <w:r>
        <w:rPr>
          <w:rFonts w:ascii="Theinhardt Bold" w:hAnsi="Theinhardt Bold" w:cs="Theinhardt Bold" w:eastAsia="Theinhardt Bold"/>
          <w:b/>
          <w:bCs/>
          <w:color w:val="0C1C23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total,</w:t>
      </w:r>
      <w:r>
        <w:rPr>
          <w:rFonts w:ascii="Theinhardt Bold" w:hAnsi="Theinhardt Bold" w:cs="Theinhardt Bold" w:eastAsia="Theinhardt Bold"/>
          <w:b/>
          <w:bCs/>
          <w:color w:val="0C1C23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l’immeuble</w:t>
      </w:r>
      <w:r>
        <w:rPr>
          <w:rFonts w:ascii="Theinhardt Bold" w:hAnsi="Theinhardt Bold" w:cs="Theinhardt Bold" w:eastAsia="Theinhardt Bold"/>
          <w:b/>
          <w:bCs/>
          <w:color w:val="0C1C23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Sakura</w:t>
      </w:r>
      <w:r>
        <w:rPr>
          <w:rFonts w:ascii="Theinhardt Bold" w:hAnsi="Theinhardt Bold" w:cs="Theinhardt Bold" w:eastAsia="Theinhardt Bold"/>
          <w:b/>
          <w:bCs/>
          <w:color w:val="0C1C23"/>
          <w:spacing w:val="6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assure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une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autoproduction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de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71%.</w:t>
      </w:r>
      <w:r>
        <w:rPr>
          <w:rFonts w:ascii="Theinhardt Bold" w:hAnsi="Theinhardt Bold" w:cs="Theinhardt Bold" w:eastAsia="Theinhardt Bold"/>
          <w:sz w:val="18"/>
          <w:szCs w:val="18"/>
        </w:rPr>
      </w:r>
    </w:p>
    <w:p>
      <w:pPr>
        <w:spacing w:after="0" w:line="230" w:lineRule="exact"/>
        <w:jc w:val="both"/>
        <w:rPr>
          <w:rFonts w:ascii="Theinhardt Bold" w:hAnsi="Theinhardt Bold" w:cs="Theinhardt Bold" w:eastAsia="Theinhardt Bold"/>
          <w:sz w:val="18"/>
          <w:szCs w:val="18"/>
        </w:rPr>
        <w:sectPr>
          <w:type w:val="continuous"/>
          <w:pgSz w:w="11910" w:h="16840"/>
          <w:pgMar w:top="840" w:bottom="280" w:left="460" w:right="740"/>
          <w:cols w:num="2" w:equalWidth="0">
            <w:col w:w="2538" w:space="141"/>
            <w:col w:w="8031"/>
          </w:cols>
        </w:sect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1"/>
        <w:rPr>
          <w:rFonts w:ascii="Theinhardt Bold" w:hAnsi="Theinhardt Bold" w:cs="Theinhardt Bold" w:eastAsia="Theinhardt Bold"/>
          <w:b/>
          <w:bCs/>
          <w:sz w:val="26"/>
          <w:szCs w:val="26"/>
        </w:rPr>
      </w:pPr>
    </w:p>
    <w:p>
      <w:pPr>
        <w:spacing w:before="5"/>
        <w:ind w:left="106" w:right="0" w:firstLine="0"/>
        <w:jc w:val="left"/>
        <w:rPr>
          <w:rFonts w:ascii="Theinhardt Black" w:hAnsi="Theinhardt Black" w:cs="Theinhardt Black" w:eastAsia="Theinhardt Black"/>
          <w:sz w:val="40"/>
          <w:szCs w:val="40"/>
        </w:rPr>
      </w:pPr>
      <w:r>
        <w:rPr>
          <w:rFonts w:ascii="Theinhardt Black"/>
          <w:b/>
          <w:color w:val="0067B1"/>
          <w:spacing w:val="1"/>
          <w:sz w:val="40"/>
        </w:rPr>
        <w:t>Immeuble</w:t>
      </w:r>
      <w:r>
        <w:rPr>
          <w:rFonts w:ascii="Theinhardt Black"/>
          <w:b/>
          <w:color w:val="0067B1"/>
          <w:sz w:val="40"/>
        </w:rPr>
        <w:t> 71% </w:t>
      </w:r>
      <w:r>
        <w:rPr>
          <w:rFonts w:ascii="Theinhardt Black"/>
          <w:b/>
          <w:color w:val="0067B1"/>
          <w:spacing w:val="4"/>
          <w:sz w:val="40"/>
        </w:rPr>
        <w:t>Sakura,</w:t>
      </w:r>
      <w:r>
        <w:rPr>
          <w:rFonts w:ascii="Theinhardt Black"/>
          <w:b/>
          <w:color w:val="0067B1"/>
          <w:spacing w:val="-24"/>
          <w:sz w:val="40"/>
        </w:rPr>
        <w:t> </w:t>
      </w:r>
      <w:r>
        <w:rPr>
          <w:rFonts w:ascii="Theinhardt Black"/>
          <w:b/>
          <w:color w:val="0067B1"/>
          <w:sz w:val="40"/>
        </w:rPr>
        <w:t>1950 </w:t>
      </w:r>
      <w:r>
        <w:rPr>
          <w:rFonts w:ascii="Theinhardt Black"/>
          <w:b/>
          <w:color w:val="0067B1"/>
          <w:spacing w:val="1"/>
          <w:sz w:val="40"/>
        </w:rPr>
        <w:t>Sion</w:t>
      </w:r>
      <w:r>
        <w:rPr>
          <w:rFonts w:ascii="Theinhardt Black"/>
          <w:b/>
          <w:color w:val="0067B1"/>
          <w:sz w:val="40"/>
        </w:rPr>
        <w:t> </w:t>
      </w:r>
      <w:r>
        <w:rPr>
          <w:rFonts w:ascii="Theinhardt Black"/>
          <w:b/>
          <w:color w:val="0067B1"/>
          <w:spacing w:val="2"/>
          <w:sz w:val="40"/>
        </w:rPr>
        <w:t>(VS)</w:t>
      </w:r>
      <w:r>
        <w:rPr>
          <w:rFonts w:ascii="Theinhardt Black"/>
          <w:sz w:val="40"/>
        </w:rPr>
      </w:r>
    </w:p>
    <w:p>
      <w:pPr>
        <w:spacing w:line="240" w:lineRule="auto" w:before="5"/>
        <w:rPr>
          <w:rFonts w:ascii="Theinhardt Black" w:hAnsi="Theinhardt Black" w:cs="Theinhardt Black" w:eastAsia="Theinhardt Black"/>
          <w:b/>
          <w:bCs/>
          <w:sz w:val="22"/>
          <w:szCs w:val="22"/>
        </w:rPr>
      </w:pPr>
    </w:p>
    <w:p>
      <w:pPr>
        <w:spacing w:after="0" w:line="240" w:lineRule="auto"/>
        <w:rPr>
          <w:rFonts w:ascii="Theinhardt Black" w:hAnsi="Theinhardt Black" w:cs="Theinhardt Black" w:eastAsia="Theinhardt Black"/>
          <w:sz w:val="22"/>
          <w:szCs w:val="22"/>
        </w:rPr>
        <w:sectPr>
          <w:type w:val="continuous"/>
          <w:pgSz w:w="11910" w:h="16840"/>
          <w:pgMar w:top="840" w:bottom="280" w:left="460" w:right="740"/>
        </w:sectPr>
      </w:pPr>
    </w:p>
    <w:p>
      <w:pPr>
        <w:pStyle w:val="Heading1"/>
        <w:spacing w:line="230" w:lineRule="exact" w:before="71"/>
        <w:ind w:right="0"/>
        <w:jc w:val="both"/>
      </w:pPr>
      <w:r>
        <w:rPr>
          <w:color w:val="231F20"/>
          <w:spacing w:val="-2"/>
        </w:rPr>
        <w:t>Construit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2020</w:t>
      </w:r>
      <w:r>
        <w:rPr>
          <w:color w:val="231F20"/>
          <w:spacing w:val="-14"/>
        </w:rPr>
        <w:t> </w:t>
      </w:r>
      <w:r>
        <w:rPr>
          <w:color w:val="231F20"/>
        </w:rPr>
        <w:t>à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Sion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(VS),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dans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l’une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des</w:t>
      </w:r>
      <w:r>
        <w:rPr>
          <w:color w:val="231F20"/>
          <w:spacing w:val="29"/>
        </w:rPr>
        <w:t> </w:t>
      </w:r>
      <w:r>
        <w:rPr>
          <w:color w:val="231F20"/>
          <w:spacing w:val="-3"/>
        </w:rPr>
        <w:t>régions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les</w:t>
      </w:r>
      <w:r>
        <w:rPr>
          <w:color w:val="231F20"/>
          <w:spacing w:val="32"/>
        </w:rPr>
        <w:t> </w:t>
      </w:r>
      <w:r>
        <w:rPr>
          <w:color w:val="231F20"/>
          <w:spacing w:val="-2"/>
        </w:rPr>
        <w:t>plus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ensoleillées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32"/>
        </w:rPr>
        <w:t> </w:t>
      </w:r>
      <w:r>
        <w:rPr>
          <w:color w:val="231F20"/>
          <w:spacing w:val="-2"/>
        </w:rPr>
        <w:t>Suisse,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l’immeuble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Sakura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comprend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neuf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apparte-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ments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et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se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distingue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par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son</w:t>
      </w:r>
      <w:r>
        <w:rPr>
          <w:color w:val="231F20"/>
          <w:spacing w:val="25"/>
        </w:rPr>
        <w:t> </w:t>
      </w:r>
      <w:r>
        <w:rPr>
          <w:color w:val="231F20"/>
          <w:spacing w:val="-3"/>
        </w:rPr>
        <w:t>architecture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attrayante.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Le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toit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et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le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sol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ce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nouveau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bâti-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ment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presque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cubique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possèdent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une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excel-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lente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isolation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31</w:t>
      </w:r>
      <w:r>
        <w:rPr>
          <w:color w:val="231F20"/>
          <w:spacing w:val="-4"/>
        </w:rPr>
        <w:t> </w:t>
      </w:r>
      <w:r>
        <w:rPr>
          <w:color w:val="231F20"/>
        </w:rPr>
        <w:t>à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40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cm</w:t>
      </w:r>
      <w:r>
        <w:rPr>
          <w:color w:val="231F20"/>
          <w:spacing w:val="-4"/>
        </w:rPr>
        <w:t> d’épaisseur.</w:t>
      </w:r>
      <w:r>
        <w:rPr/>
      </w:r>
    </w:p>
    <w:p>
      <w:pPr>
        <w:spacing w:line="232" w:lineRule="auto" w:before="15"/>
        <w:ind w:left="106" w:right="8" w:firstLine="226"/>
        <w:jc w:val="both"/>
        <w:rPr>
          <w:rFonts w:ascii="Theinhardt Regular" w:hAnsi="Theinhardt Regular" w:cs="Theinhardt Regular" w:eastAsia="Theinhardt Regular"/>
          <w:sz w:val="18"/>
          <w:szCs w:val="18"/>
        </w:rPr>
      </w:pPr>
      <w:r>
        <w:rPr>
          <w:rFonts w:ascii="Theinhardt Regular" w:hAnsi="Theinhardt Regular" w:cs="Theinhardt Regular" w:eastAsia="Theinhardt Regular"/>
          <w:color w:val="231F20"/>
          <w:spacing w:val="-3"/>
          <w:sz w:val="18"/>
          <w:szCs w:val="18"/>
        </w:rPr>
        <w:t>Entièrement</w:t>
      </w:r>
      <w:r>
        <w:rPr>
          <w:rFonts w:ascii="Theinhardt Regular" w:hAnsi="Theinhardt Regular" w:cs="Theinhardt Regular" w:eastAsia="Theinhardt Regular"/>
          <w:color w:val="231F20"/>
          <w:spacing w:val="-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équipé</w:t>
      </w:r>
      <w:r>
        <w:rPr>
          <w:rFonts w:ascii="Theinhardt Regular" w:hAnsi="Theinhardt Regular" w:cs="Theinhardt Regular" w:eastAsia="Theinhardt Regular"/>
          <w:color w:val="231F20"/>
          <w:spacing w:val="-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d’un</w:t>
      </w:r>
      <w:r>
        <w:rPr>
          <w:rFonts w:ascii="Theinhardt Regular" w:hAnsi="Theinhardt Regular" w:cs="Theinhardt Regular" w:eastAsia="Theinhardt Regular"/>
          <w:color w:val="231F20"/>
          <w:spacing w:val="-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éclairage</w:t>
      </w:r>
      <w:r>
        <w:rPr>
          <w:rFonts w:ascii="Theinhardt Regular" w:hAnsi="Theinhardt Regular" w:cs="Theinhardt Regular" w:eastAsia="Theinhardt Regular"/>
          <w:color w:val="231F20"/>
          <w:spacing w:val="-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4"/>
          <w:sz w:val="18"/>
          <w:szCs w:val="18"/>
        </w:rPr>
        <w:t>LED</w:t>
      </w:r>
      <w:r>
        <w:rPr>
          <w:rFonts w:ascii="Theinhardt Regular" w:hAnsi="Theinhardt Regular" w:cs="Theinhardt Regular" w:eastAsia="Theinhardt Regular"/>
          <w:color w:val="231F20"/>
          <w:spacing w:val="-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et</w:t>
      </w:r>
      <w:r>
        <w:rPr>
          <w:rFonts w:ascii="Theinhardt Regular" w:hAnsi="Theinhardt Regular" w:cs="Theinhardt Regular" w:eastAsia="Theinhardt Regular"/>
          <w:color w:val="231F20"/>
          <w:spacing w:val="2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3"/>
          <w:sz w:val="18"/>
          <w:szCs w:val="18"/>
        </w:rPr>
        <w:t>d’appareils</w:t>
      </w:r>
      <w:r>
        <w:rPr>
          <w:rFonts w:ascii="Theinhardt Regular" w:hAnsi="Theinhardt Regular" w:cs="Theinhardt Regular" w:eastAsia="Theinhardt Regular"/>
          <w:color w:val="231F20"/>
          <w:spacing w:val="-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ménagers</w:t>
      </w:r>
      <w:r>
        <w:rPr>
          <w:rFonts w:ascii="Theinhardt Regular" w:hAnsi="Theinhardt Regular" w:cs="Theinhardt Regular" w:eastAsia="Theinhardt Regular"/>
          <w:color w:val="231F20"/>
          <w:spacing w:val="-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effi</w:t>
      </w:r>
      <w:r>
        <w:rPr>
          <w:rFonts w:ascii="Theinhardt Regular" w:hAnsi="Theinhardt Regular" w:cs="Theinhardt Regular" w:eastAsia="Theinhardt Regular"/>
          <w:color w:val="231F20"/>
          <w:spacing w:val="2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s,</w:t>
      </w:r>
      <w:r>
        <w:rPr>
          <w:rFonts w:ascii="Theinhardt Regular" w:hAnsi="Theinhardt Regular" w:cs="Theinhardt Regular" w:eastAsia="Theinhardt Regular"/>
          <w:color w:val="231F20"/>
          <w:spacing w:val="-1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le</w:t>
      </w:r>
      <w:r>
        <w:rPr>
          <w:rFonts w:ascii="Theinhardt Regular" w:hAnsi="Theinhardt Regular" w:cs="Theinhardt Regular" w:eastAsia="Theinhardt Regular"/>
          <w:color w:val="231F20"/>
          <w:spacing w:val="-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3"/>
          <w:sz w:val="18"/>
          <w:szCs w:val="18"/>
        </w:rPr>
        <w:t>complexe</w:t>
      </w:r>
      <w:r>
        <w:rPr>
          <w:rFonts w:ascii="Theinhardt Regular" w:hAnsi="Theinhardt Regular" w:cs="Theinhardt Regular" w:eastAsia="Theinhardt Regular"/>
          <w:color w:val="231F20"/>
          <w:spacing w:val="2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immobilier</w:t>
      </w:r>
      <w:r>
        <w:rPr>
          <w:rFonts w:ascii="Theinhardt Regular" w:hAnsi="Theinhardt Regular" w:cs="Theinhardt Regular" w:eastAsia="Theinhardt Regular"/>
          <w:color w:val="231F20"/>
          <w:spacing w:val="2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3"/>
          <w:sz w:val="18"/>
          <w:szCs w:val="18"/>
        </w:rPr>
        <w:t>consomme</w:t>
      </w:r>
      <w:r>
        <w:rPr>
          <w:rFonts w:ascii="Theinhardt Regular" w:hAnsi="Theinhardt Regular" w:cs="Theinhardt Regular" w:eastAsia="Theinhardt Regular"/>
          <w:color w:val="231F20"/>
          <w:spacing w:val="2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75’400</w:t>
      </w:r>
      <w:r>
        <w:rPr>
          <w:rFonts w:ascii="Theinhardt Regular" w:hAnsi="Theinhardt Regular" w:cs="Theinhardt Regular" w:eastAsia="Theinhardt Regular"/>
          <w:color w:val="231F20"/>
          <w:spacing w:val="2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4"/>
          <w:sz w:val="18"/>
          <w:szCs w:val="18"/>
        </w:rPr>
        <w:t>kWh/a</w:t>
      </w:r>
      <w:r>
        <w:rPr>
          <w:rFonts w:ascii="Theinhardt Regular" w:hAnsi="Theinhardt Regular" w:cs="Theinhardt Regular" w:eastAsia="Theinhardt Regular"/>
          <w:color w:val="231F20"/>
          <w:spacing w:val="2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pour</w:t>
      </w:r>
      <w:r>
        <w:rPr>
          <w:rFonts w:ascii="Theinhardt Regular" w:hAnsi="Theinhardt Regular" w:cs="Theinhardt Regular" w:eastAsia="Theinhardt Regular"/>
          <w:color w:val="231F20"/>
          <w:spacing w:val="3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1’705</w:t>
      </w:r>
      <w:r>
        <w:rPr>
          <w:rFonts w:ascii="Theinhardt Regular" w:hAnsi="Theinhardt Regular" w:cs="Theinhardt Regular" w:eastAsia="Theinhardt Regular"/>
          <w:color w:val="231F20"/>
          <w:spacing w:val="2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m</w:t>
      </w:r>
      <w:r>
        <w:rPr>
          <w:rFonts w:ascii="Theinhardt Regular" w:hAnsi="Theinhardt Regular" w:cs="Theinhardt Regular" w:eastAsia="Theinhardt Regular"/>
          <w:color w:val="231F20"/>
          <w:spacing w:val="-1"/>
          <w:position w:val="6"/>
          <w:sz w:val="10"/>
          <w:szCs w:val="10"/>
        </w:rPr>
        <w:t>2</w:t>
      </w:r>
      <w:r>
        <w:rPr>
          <w:rFonts w:ascii="Theinhardt Regular" w:hAnsi="Theinhardt Regular" w:cs="Theinhardt Regular" w:eastAsia="Theinhardt Regular"/>
          <w:color w:val="231F20"/>
          <w:spacing w:val="18"/>
          <w:position w:val="6"/>
          <w:sz w:val="10"/>
          <w:szCs w:val="10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de</w:t>
      </w:r>
      <w:r>
        <w:rPr>
          <w:rFonts w:ascii="Theinhardt Regular" w:hAnsi="Theinhardt Regular" w:cs="Theinhardt Regular" w:eastAsia="Theinhardt Regular"/>
          <w:color w:val="231F20"/>
          <w:spacing w:val="2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surface</w:t>
      </w:r>
      <w:r>
        <w:rPr>
          <w:rFonts w:ascii="Theinhardt Regular" w:hAnsi="Theinhardt Regular" w:cs="Theinhardt Regular" w:eastAsia="Theinhardt Regular"/>
          <w:color w:val="231F20"/>
          <w:spacing w:val="2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de</w:t>
      </w:r>
      <w:r>
        <w:rPr>
          <w:rFonts w:ascii="Theinhardt Regular" w:hAnsi="Theinhardt Regular" w:cs="Theinhardt Regular" w:eastAsia="Theinhardt Regular"/>
          <w:color w:val="231F20"/>
          <w:spacing w:val="2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4"/>
          <w:sz w:val="18"/>
          <w:szCs w:val="18"/>
        </w:rPr>
        <w:t>référence</w:t>
      </w:r>
      <w:r>
        <w:rPr>
          <w:rFonts w:ascii="Theinhardt Regular" w:hAnsi="Theinhardt Regular" w:cs="Theinhardt Regular" w:eastAsia="Theinhardt Regular"/>
          <w:color w:val="231F20"/>
          <w:spacing w:val="2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3"/>
          <w:sz w:val="18"/>
          <w:szCs w:val="18"/>
        </w:rPr>
        <w:t>énergé-</w:t>
      </w:r>
      <w:r>
        <w:rPr>
          <w:rFonts w:ascii="Theinhardt Regular" w:hAnsi="Theinhardt Regular" w:cs="Theinhardt Regular" w:eastAsia="Theinhardt Regular"/>
          <w:color w:val="231F20"/>
          <w:spacing w:val="3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tique.</w:t>
      </w:r>
      <w:r>
        <w:rPr>
          <w:rFonts w:ascii="Theinhardt Regular" w:hAnsi="Theinhardt Regular" w:cs="Theinhardt Regular" w:eastAsia="Theinhardt Regular"/>
          <w:color w:val="231F20"/>
          <w:spacing w:val="-1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Quelque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10’500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4"/>
          <w:sz w:val="18"/>
          <w:szCs w:val="18"/>
        </w:rPr>
        <w:t>kWh/a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alimentent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en</w:t>
      </w:r>
      <w:r>
        <w:rPr>
          <w:rFonts w:ascii="Theinhardt Regular" w:hAnsi="Theinhardt Regular" w:cs="Theinhardt Regular" w:eastAsia="Theinhardt Regular"/>
          <w:color w:val="231F20"/>
          <w:spacing w:val="3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3"/>
          <w:sz w:val="18"/>
          <w:szCs w:val="18"/>
        </w:rPr>
        <w:t>outre</w:t>
      </w:r>
      <w:r>
        <w:rPr>
          <w:rFonts w:ascii="Theinhardt Regular" w:hAnsi="Theinhardt Regular" w:cs="Theinhardt Regular" w:eastAsia="Theinhardt Regular"/>
          <w:color w:val="231F20"/>
          <w:spacing w:val="1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les</w:t>
      </w:r>
      <w:r>
        <w:rPr>
          <w:rFonts w:ascii="Theinhardt Regular" w:hAnsi="Theinhardt Regular" w:cs="Theinhardt Regular" w:eastAsia="Theinhardt Regular"/>
          <w:color w:val="231F20"/>
          <w:spacing w:val="1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3"/>
          <w:sz w:val="18"/>
          <w:szCs w:val="18"/>
        </w:rPr>
        <w:t>quatre</w:t>
      </w:r>
      <w:r>
        <w:rPr>
          <w:rFonts w:ascii="Theinhardt Regular" w:hAnsi="Theinhardt Regular" w:cs="Theinhardt Regular" w:eastAsia="Theinhardt Regular"/>
          <w:color w:val="231F20"/>
          <w:spacing w:val="1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véhicules</w:t>
      </w:r>
      <w:r>
        <w:rPr>
          <w:rFonts w:ascii="Theinhardt Regular" w:hAnsi="Theinhardt Regular" w:cs="Theinhardt Regular" w:eastAsia="Theinhardt Regular"/>
          <w:color w:val="231F20"/>
          <w:spacing w:val="1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électriques</w:t>
      </w:r>
      <w:r>
        <w:rPr>
          <w:rFonts w:ascii="Theinhardt Regular" w:hAnsi="Theinhardt Regular" w:cs="Theinhardt Regular" w:eastAsia="Theinhardt Regular"/>
          <w:color w:val="231F20"/>
          <w:spacing w:val="1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mis</w:t>
      </w:r>
      <w:r>
        <w:rPr>
          <w:rFonts w:ascii="Theinhardt Regular" w:hAnsi="Theinhardt Regular" w:cs="Theinhardt Regular" w:eastAsia="Theinhardt Regular"/>
          <w:color w:val="231F20"/>
          <w:spacing w:val="1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à</w:t>
      </w:r>
      <w:r>
        <w:rPr>
          <w:rFonts w:ascii="Theinhardt Regular" w:hAnsi="Theinhardt Regular" w:cs="Theinhardt Regular" w:eastAsia="Theinhardt Regular"/>
          <w:color w:val="231F20"/>
          <w:spacing w:val="3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disposition.</w:t>
      </w:r>
      <w:r>
        <w:rPr>
          <w:rFonts w:ascii="Theinhardt Regular" w:hAnsi="Theinhardt Regular" w:cs="Theinhardt Regular" w:eastAsia="Theinhardt Regular"/>
          <w:sz w:val="18"/>
          <w:szCs w:val="18"/>
        </w:rPr>
      </w:r>
    </w:p>
    <w:p>
      <w:pPr>
        <w:spacing w:line="232" w:lineRule="auto" w:before="0"/>
        <w:ind w:left="106" w:right="1" w:firstLine="226"/>
        <w:jc w:val="right"/>
        <w:rPr>
          <w:rFonts w:ascii="Theinhardt Regular" w:hAnsi="Theinhardt Regular" w:cs="Theinhardt Regular" w:eastAsia="Theinhardt Regular"/>
          <w:sz w:val="18"/>
          <w:szCs w:val="18"/>
        </w:rPr>
      </w:pPr>
      <w:r>
        <w:rPr>
          <w:rFonts w:ascii="Theinhardt Regular" w:hAnsi="Theinhardt Regular" w:cs="Theinhardt Regular" w:eastAsia="Theinhardt Regular"/>
          <w:color w:val="231F20"/>
          <w:spacing w:val="-4"/>
          <w:sz w:val="18"/>
          <w:szCs w:val="18"/>
        </w:rPr>
        <w:t>Les</w:t>
      </w:r>
      <w:r>
        <w:rPr>
          <w:rFonts w:ascii="Theinhardt Regular" w:hAnsi="Theinhardt Regular" w:cs="Theinhardt Regular" w:eastAsia="Theinhardt Regular"/>
          <w:color w:val="231F20"/>
          <w:spacing w:val="-1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façades</w:t>
      </w:r>
      <w:r>
        <w:rPr>
          <w:rFonts w:ascii="Theinhardt Regular" w:hAnsi="Theinhardt Regular" w:cs="Theinhardt Regular" w:eastAsia="Theinhardt Regular"/>
          <w:color w:val="231F20"/>
          <w:spacing w:val="-1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est</w:t>
      </w:r>
      <w:r>
        <w:rPr>
          <w:rFonts w:ascii="Theinhardt Regular" w:hAnsi="Theinhardt Regular" w:cs="Theinhardt Regular" w:eastAsia="Theinhardt Regular"/>
          <w:color w:val="231F20"/>
          <w:spacing w:val="-1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et</w:t>
      </w:r>
      <w:r>
        <w:rPr>
          <w:rFonts w:ascii="Theinhardt Regular" w:hAnsi="Theinhardt Regular" w:cs="Theinhardt Regular" w:eastAsia="Theinhardt Regular"/>
          <w:color w:val="231F20"/>
          <w:spacing w:val="-1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ouest</w:t>
      </w:r>
      <w:r>
        <w:rPr>
          <w:rFonts w:ascii="Theinhardt Regular" w:hAnsi="Theinhardt Regular" w:cs="Theinhardt Regular" w:eastAsia="Theinhardt Regular"/>
          <w:color w:val="231F20"/>
          <w:spacing w:val="-1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de</w:t>
      </w:r>
      <w:r>
        <w:rPr>
          <w:rFonts w:ascii="Theinhardt Regular" w:hAnsi="Theinhardt Regular" w:cs="Theinhardt Regular" w:eastAsia="Theinhardt Regular"/>
          <w:color w:val="231F20"/>
          <w:spacing w:val="-1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la</w:t>
      </w:r>
      <w:r>
        <w:rPr>
          <w:rFonts w:ascii="Theinhardt Regular" w:hAnsi="Theinhardt Regular" w:cs="Theinhardt Regular" w:eastAsia="Theinhardt Regular"/>
          <w:color w:val="231F20"/>
          <w:spacing w:val="-1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construction</w:t>
      </w:r>
      <w:r>
        <w:rPr>
          <w:rFonts w:ascii="Theinhardt Regular" w:hAnsi="Theinhardt Regular" w:cs="Theinhardt Regular" w:eastAsia="Theinhardt Regular"/>
          <w:color w:val="231F20"/>
          <w:spacing w:val="2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à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3"/>
          <w:sz w:val="18"/>
          <w:szCs w:val="18"/>
        </w:rPr>
        <w:t>ossature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 bois aux lignes modernes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et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 épu-</w:t>
      </w:r>
      <w:r>
        <w:rPr>
          <w:rFonts w:ascii="Theinhardt Regular" w:hAnsi="Theinhardt Regular" w:cs="Theinhardt Regular" w:eastAsia="Theinhardt Regular"/>
          <w:color w:val="231F20"/>
          <w:spacing w:val="3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3"/>
          <w:sz w:val="18"/>
          <w:szCs w:val="18"/>
        </w:rPr>
        <w:t>rées</w:t>
      </w:r>
      <w:r>
        <w:rPr>
          <w:rFonts w:ascii="Theinhardt Regular" w:hAnsi="Theinhardt Regular" w:cs="Theinhardt Regular" w:eastAsia="Theinhardt Regular"/>
          <w:color w:val="231F20"/>
          <w:spacing w:val="2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exploitent</w:t>
      </w:r>
      <w:r>
        <w:rPr>
          <w:rFonts w:ascii="Theinhardt Regular" w:hAnsi="Theinhardt Regular" w:cs="Theinhardt Regular" w:eastAsia="Theinhardt Regular"/>
          <w:color w:val="231F20"/>
          <w:spacing w:val="2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4"/>
          <w:sz w:val="18"/>
          <w:szCs w:val="18"/>
        </w:rPr>
        <w:t>l’énergie</w:t>
      </w:r>
      <w:r>
        <w:rPr>
          <w:rFonts w:ascii="Theinhardt Regular" w:hAnsi="Theinhardt Regular" w:cs="Theinhardt Regular" w:eastAsia="Theinhardt Regular"/>
          <w:color w:val="231F20"/>
          <w:spacing w:val="2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3"/>
          <w:sz w:val="18"/>
          <w:szCs w:val="18"/>
        </w:rPr>
        <w:t>solaire</w:t>
      </w:r>
      <w:r>
        <w:rPr>
          <w:rFonts w:ascii="Theinhardt Regular" w:hAnsi="Theinhardt Regular" w:cs="Theinhardt Regular" w:eastAsia="Theinhardt Regular"/>
          <w:color w:val="231F20"/>
          <w:spacing w:val="2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passive.</w:t>
      </w:r>
      <w:r>
        <w:rPr>
          <w:rFonts w:ascii="Theinhardt Regular" w:hAnsi="Theinhardt Regular" w:cs="Theinhardt Regular" w:eastAsia="Theinhardt Regular"/>
          <w:color w:val="231F20"/>
          <w:spacing w:val="1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La</w:t>
      </w:r>
      <w:r>
        <w:rPr>
          <w:rFonts w:ascii="Theinhardt Regular" w:hAnsi="Theinhardt Regular" w:cs="Theinhardt Regular" w:eastAsia="Theinhardt Regular"/>
          <w:color w:val="231F20"/>
          <w:spacing w:val="3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façade</w:t>
      </w:r>
      <w:r>
        <w:rPr>
          <w:rFonts w:ascii="Theinhardt Regular" w:hAnsi="Theinhardt Regular" w:cs="Theinhardt Regular" w:eastAsia="Theinhardt Regular"/>
          <w:color w:val="231F20"/>
          <w:spacing w:val="1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sud</w:t>
      </w:r>
      <w:r>
        <w:rPr>
          <w:rFonts w:ascii="Theinhardt Regular" w:hAnsi="Theinhardt Regular" w:cs="Theinhardt Regular" w:eastAsia="Theinhardt Regular"/>
          <w:color w:val="231F20"/>
          <w:spacing w:val="1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3"/>
          <w:sz w:val="18"/>
          <w:szCs w:val="18"/>
        </w:rPr>
        <w:t>intègre</w:t>
      </w:r>
      <w:r>
        <w:rPr>
          <w:rFonts w:ascii="Theinhardt Regular" w:hAnsi="Theinhardt Regular" w:cs="Theinhardt Regular" w:eastAsia="Theinhardt Regular"/>
          <w:color w:val="231F20"/>
          <w:spacing w:val="1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un</w:t>
      </w:r>
      <w:r>
        <w:rPr>
          <w:rFonts w:ascii="Theinhardt Regular" w:hAnsi="Theinhardt Regular" w:cs="Theinhardt Regular" w:eastAsia="Theinhardt Regular"/>
          <w:color w:val="231F20"/>
          <w:spacing w:val="1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système</w:t>
      </w:r>
      <w:r>
        <w:rPr>
          <w:rFonts w:ascii="Theinhardt Regular" w:hAnsi="Theinhardt Regular" w:cs="Theinhardt Regular" w:eastAsia="Theinhardt Regular"/>
          <w:color w:val="231F20"/>
          <w:spacing w:val="1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3"/>
          <w:sz w:val="18"/>
          <w:szCs w:val="18"/>
        </w:rPr>
        <w:t>solaire</w:t>
      </w:r>
      <w:r>
        <w:rPr>
          <w:rFonts w:ascii="Theinhardt Regular" w:hAnsi="Theinhardt Regular" w:cs="Theinhardt Regular" w:eastAsia="Theinhardt Regular"/>
          <w:color w:val="231F20"/>
          <w:spacing w:val="1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ther-</w:t>
      </w:r>
      <w:r>
        <w:rPr>
          <w:rFonts w:ascii="Theinhardt Regular" w:hAnsi="Theinhardt Regular" w:cs="Theinhardt Regular" w:eastAsia="Theinhardt Regular"/>
          <w:color w:val="231F20"/>
          <w:spacing w:val="2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mique</w:t>
      </w:r>
      <w:r>
        <w:rPr>
          <w:rFonts w:ascii="Theinhardt Regular" w:hAnsi="Theinhardt Regular" w:cs="Theinhardt Regular" w:eastAsia="Theinhardt Regular"/>
          <w:color w:val="231F20"/>
          <w:spacing w:val="2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qui</w:t>
      </w:r>
      <w:r>
        <w:rPr>
          <w:rFonts w:ascii="Theinhardt Regular" w:hAnsi="Theinhardt Regular" w:cs="Theinhardt Regular" w:eastAsia="Theinhardt Regular"/>
          <w:color w:val="231F20"/>
          <w:spacing w:val="2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fournit</w:t>
      </w:r>
      <w:r>
        <w:rPr>
          <w:rFonts w:ascii="Theinhardt Regular" w:hAnsi="Theinhardt Regular" w:cs="Theinhardt Regular" w:eastAsia="Theinhardt Regular"/>
          <w:color w:val="231F20"/>
          <w:spacing w:val="2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21’000</w:t>
      </w:r>
      <w:r>
        <w:rPr>
          <w:rFonts w:ascii="Theinhardt Regular" w:hAnsi="Theinhardt Regular" w:cs="Theinhardt Regular" w:eastAsia="Theinhardt Regular"/>
          <w:color w:val="231F20"/>
          <w:spacing w:val="2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3"/>
          <w:sz w:val="18"/>
          <w:szCs w:val="18"/>
        </w:rPr>
        <w:t>kWh/a.</w:t>
      </w:r>
      <w:r>
        <w:rPr>
          <w:rFonts w:ascii="Theinhardt Regular" w:hAnsi="Theinhardt Regular" w:cs="Theinhardt Regular" w:eastAsia="Theinhardt Regular"/>
          <w:color w:val="231F20"/>
          <w:spacing w:val="1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4"/>
          <w:sz w:val="18"/>
          <w:szCs w:val="18"/>
        </w:rPr>
        <w:t>Les</w:t>
      </w:r>
      <w:r>
        <w:rPr>
          <w:rFonts w:ascii="Theinhardt Regular" w:hAnsi="Theinhardt Regular" w:cs="Theinhardt Regular" w:eastAsia="Theinhardt Regular"/>
          <w:color w:val="231F20"/>
          <w:spacing w:val="2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cap-</w:t>
      </w:r>
      <w:r>
        <w:rPr>
          <w:rFonts w:ascii="Theinhardt Regular" w:hAnsi="Theinhardt Regular" w:cs="Theinhardt Regular" w:eastAsia="Theinhardt Regular"/>
          <w:color w:val="231F20"/>
          <w:spacing w:val="2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teurs</w:t>
      </w:r>
      <w:r>
        <w:rPr>
          <w:rFonts w:ascii="Theinhardt Regular" w:hAnsi="Theinhardt Regular" w:cs="Theinhardt Regular" w:eastAsia="Theinhardt Regular"/>
          <w:color w:val="231F20"/>
          <w:spacing w:val="-1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y</w:t>
      </w:r>
      <w:r>
        <w:rPr>
          <w:rFonts w:ascii="Theinhardt Regular" w:hAnsi="Theinhardt Regular" w:cs="Theinhardt Regular" w:eastAsia="Theinhardt Regular"/>
          <w:color w:val="231F20"/>
          <w:spacing w:val="-1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sont</w:t>
      </w:r>
      <w:r>
        <w:rPr>
          <w:rFonts w:ascii="Theinhardt Regular" w:hAnsi="Theinhardt Regular" w:cs="Theinhardt Regular" w:eastAsia="Theinhardt Regular"/>
          <w:color w:val="231F20"/>
          <w:spacing w:val="-1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3"/>
          <w:sz w:val="18"/>
          <w:szCs w:val="18"/>
        </w:rPr>
        <w:t>disposés</w:t>
      </w:r>
      <w:r>
        <w:rPr>
          <w:rFonts w:ascii="Theinhardt Regular" w:hAnsi="Theinhardt Regular" w:cs="Theinhardt Regular" w:eastAsia="Theinhardt Regular"/>
          <w:color w:val="231F20"/>
          <w:spacing w:val="-1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verticalement,</w:t>
      </w:r>
      <w:r>
        <w:rPr>
          <w:rFonts w:ascii="Theinhardt Regular" w:hAnsi="Theinhardt Regular" w:cs="Theinhardt Regular" w:eastAsia="Theinhardt Regular"/>
          <w:color w:val="231F20"/>
          <w:spacing w:val="-2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de</w:t>
      </w:r>
      <w:r>
        <w:rPr>
          <w:rFonts w:ascii="Theinhardt Regular" w:hAnsi="Theinhardt Regular" w:cs="Theinhardt Regular" w:eastAsia="Theinhardt Regular"/>
          <w:color w:val="231F20"/>
          <w:spacing w:val="-1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mani-</w:t>
      </w:r>
      <w:r>
        <w:rPr>
          <w:rFonts w:ascii="Theinhardt Regular" w:hAnsi="Theinhardt Regular" w:cs="Theinhardt Regular" w:eastAsia="Theinhardt Regular"/>
          <w:color w:val="231F20"/>
          <w:spacing w:val="4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4"/>
          <w:sz w:val="18"/>
          <w:szCs w:val="18"/>
        </w:rPr>
        <w:t>ère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à</w:t>
      </w:r>
      <w:r>
        <w:rPr>
          <w:rFonts w:ascii="Theinhardt Regular" w:hAnsi="Theinhardt Regular" w:cs="Theinhardt Regular" w:eastAsia="Theinhardt Regular"/>
          <w:color w:val="231F20"/>
          <w:spacing w:val="-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3"/>
          <w:sz w:val="18"/>
          <w:szCs w:val="18"/>
        </w:rPr>
        <w:t>délivrer</w:t>
      </w:r>
      <w:r>
        <w:rPr>
          <w:rFonts w:ascii="Theinhardt Regular" w:hAnsi="Theinhardt Regular" w:cs="Theinhardt Regular" w:eastAsia="Theinhardt Regular"/>
          <w:color w:val="231F20"/>
          <w:spacing w:val="-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un</w:t>
      </w:r>
      <w:r>
        <w:rPr>
          <w:rFonts w:ascii="Theinhardt Regular" w:hAnsi="Theinhardt Regular" w:cs="Theinhardt Regular" w:eastAsia="Theinhardt Regular"/>
          <w:color w:val="231F20"/>
          <w:spacing w:val="-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3"/>
          <w:sz w:val="18"/>
          <w:szCs w:val="18"/>
        </w:rPr>
        <w:t>rendement</w:t>
      </w:r>
      <w:r>
        <w:rPr>
          <w:rFonts w:ascii="Theinhardt Regular" w:hAnsi="Theinhardt Regular" w:cs="Theinhardt Regular" w:eastAsia="Theinhardt Regular"/>
          <w:color w:val="231F20"/>
          <w:spacing w:val="-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optimal</w:t>
      </w:r>
      <w:r>
        <w:rPr>
          <w:rFonts w:ascii="Theinhardt Regular" w:hAnsi="Theinhardt Regular" w:cs="Theinhardt Regular" w:eastAsia="Theinhardt Regular"/>
          <w:color w:val="231F20"/>
          <w:spacing w:val="-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en</w:t>
      </w:r>
      <w:r>
        <w:rPr>
          <w:rFonts w:ascii="Theinhardt Regular" w:hAnsi="Theinhardt Regular" w:cs="Theinhardt Regular" w:eastAsia="Theinhardt Regular"/>
          <w:color w:val="231F20"/>
          <w:spacing w:val="-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5"/>
          <w:sz w:val="18"/>
          <w:szCs w:val="18"/>
        </w:rPr>
        <w:t>hiver.</w:t>
      </w:r>
      <w:r>
        <w:rPr>
          <w:rFonts w:ascii="Theinhardt Regular" w:hAnsi="Theinhardt Regular" w:cs="Theinhardt Regular" w:eastAsia="Theinhardt Regular"/>
          <w:color w:val="231F20"/>
          <w:spacing w:val="3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Sur</w:t>
      </w:r>
      <w:r>
        <w:rPr>
          <w:rFonts w:ascii="Theinhardt Regular" w:hAnsi="Theinhardt Regular" w:cs="Theinhardt Regular" w:eastAsia="Theinhardt Regular"/>
          <w:color w:val="231F20"/>
          <w:spacing w:val="-1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le</w:t>
      </w:r>
      <w:r>
        <w:rPr>
          <w:rFonts w:ascii="Theinhardt Regular" w:hAnsi="Theinhardt Regular" w:cs="Theinhardt Regular" w:eastAsia="Theinhardt Regular"/>
          <w:color w:val="231F20"/>
          <w:spacing w:val="-1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toit</w:t>
      </w:r>
      <w:r>
        <w:rPr>
          <w:rFonts w:ascii="Theinhardt Regular" w:hAnsi="Theinhardt Regular" w:cs="Theinhardt Regular" w:eastAsia="Theinhardt Regular"/>
          <w:color w:val="231F20"/>
          <w:spacing w:val="-1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plat,</w:t>
      </w:r>
      <w:r>
        <w:rPr>
          <w:rFonts w:ascii="Theinhardt Regular" w:hAnsi="Theinhardt Regular" w:cs="Theinhardt Regular" w:eastAsia="Theinhardt Regular"/>
          <w:color w:val="231F20"/>
          <w:spacing w:val="-2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l’installation</w:t>
      </w:r>
      <w:r>
        <w:rPr>
          <w:rFonts w:ascii="Theinhardt Regular" w:hAnsi="Theinhardt Regular" w:cs="Theinhardt Regular" w:eastAsia="Theinhardt Regular"/>
          <w:color w:val="231F20"/>
          <w:spacing w:val="-1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PV</w:t>
      </w:r>
      <w:r>
        <w:rPr>
          <w:rFonts w:ascii="Theinhardt Regular" w:hAnsi="Theinhardt Regular" w:cs="Theinhardt Regular" w:eastAsia="Theinhardt Regular"/>
          <w:color w:val="231F20"/>
          <w:spacing w:val="-1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de</w:t>
      </w:r>
      <w:r>
        <w:rPr>
          <w:rFonts w:ascii="Theinhardt Regular" w:hAnsi="Theinhardt Regular" w:cs="Theinhardt Regular" w:eastAsia="Theinhardt Regular"/>
          <w:color w:val="231F20"/>
          <w:spacing w:val="-1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27,3</w:t>
      </w:r>
      <w:r>
        <w:rPr>
          <w:rFonts w:ascii="Theinhardt Regular" w:hAnsi="Theinhardt Regular" w:cs="Theinhardt Regular" w:eastAsia="Theinhardt Regular"/>
          <w:color w:val="231F20"/>
          <w:spacing w:val="-1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kW</w:t>
      </w:r>
      <w:r>
        <w:rPr>
          <w:rFonts w:ascii="Theinhardt Regular" w:hAnsi="Theinhardt Regular" w:cs="Theinhardt Regular" w:eastAsia="Theinhardt Regular"/>
          <w:color w:val="231F20"/>
          <w:spacing w:val="2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3"/>
          <w:sz w:val="18"/>
          <w:szCs w:val="18"/>
        </w:rPr>
        <w:t>génère</w:t>
      </w:r>
      <w:r>
        <w:rPr>
          <w:rFonts w:ascii="Theinhardt Regular" w:hAnsi="Theinhardt Regular" w:cs="Theinhardt Regular" w:eastAsia="Theinhardt Regular"/>
          <w:color w:val="231F20"/>
          <w:spacing w:val="-1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32’500</w:t>
      </w:r>
      <w:r>
        <w:rPr>
          <w:rFonts w:ascii="Theinhardt Regular" w:hAnsi="Theinhardt Regular" w:cs="Theinhardt Regular" w:eastAsia="Theinhardt Regular"/>
          <w:color w:val="231F20"/>
          <w:spacing w:val="-1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3"/>
          <w:sz w:val="18"/>
          <w:szCs w:val="18"/>
        </w:rPr>
        <w:t>kWh/a.</w:t>
      </w:r>
      <w:r>
        <w:rPr>
          <w:rFonts w:ascii="Theinhardt Regular" w:hAnsi="Theinhardt Regular" w:cs="Theinhardt Regular" w:eastAsia="Theinhardt Regular"/>
          <w:color w:val="231F20"/>
          <w:spacing w:val="-2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4"/>
          <w:sz w:val="18"/>
          <w:szCs w:val="18"/>
        </w:rPr>
        <w:t>Les</w:t>
      </w:r>
      <w:r>
        <w:rPr>
          <w:rFonts w:ascii="Theinhardt Regular" w:hAnsi="Theinhardt Regular" w:cs="Theinhardt Regular" w:eastAsia="Theinhardt Regular"/>
          <w:color w:val="231F20"/>
          <w:spacing w:val="-1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modules</w:t>
      </w:r>
      <w:r>
        <w:rPr>
          <w:rFonts w:ascii="Theinhardt Regular" w:hAnsi="Theinhardt Regular" w:cs="Theinhardt Regular" w:eastAsia="Theinhardt Regular"/>
          <w:color w:val="231F20"/>
          <w:spacing w:val="-1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sont</w:t>
      </w:r>
      <w:r>
        <w:rPr>
          <w:rFonts w:ascii="Theinhardt Regular" w:hAnsi="Theinhardt Regular" w:cs="Theinhardt Regular" w:eastAsia="Theinhardt Regular"/>
          <w:color w:val="231F20"/>
          <w:spacing w:val="-1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ori-</w:t>
      </w:r>
      <w:r>
        <w:rPr>
          <w:rFonts w:ascii="Theinhardt Regular" w:hAnsi="Theinhardt Regular" w:cs="Theinhardt Regular" w:eastAsia="Theinhardt Regular"/>
          <w:color w:val="231F20"/>
          <w:spacing w:val="2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entés</w:t>
      </w:r>
      <w:r>
        <w:rPr>
          <w:rFonts w:ascii="Theinhardt Regular" w:hAnsi="Theinhardt Regular" w:cs="Theinhardt Regular" w:eastAsia="Theinhardt Regular"/>
          <w:color w:val="231F20"/>
          <w:spacing w:val="1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est-ouest</w:t>
      </w:r>
      <w:r>
        <w:rPr>
          <w:rFonts w:ascii="Theinhardt Regular" w:hAnsi="Theinhardt Regular" w:cs="Theinhardt Regular" w:eastAsia="Theinhardt Regular"/>
          <w:color w:val="231F20"/>
          <w:spacing w:val="1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3"/>
          <w:sz w:val="18"/>
          <w:szCs w:val="18"/>
        </w:rPr>
        <w:t>avec</w:t>
      </w:r>
      <w:r>
        <w:rPr>
          <w:rFonts w:ascii="Theinhardt Regular" w:hAnsi="Theinhardt Regular" w:cs="Theinhardt Regular" w:eastAsia="Theinhardt Regular"/>
          <w:color w:val="231F20"/>
          <w:spacing w:val="1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un</w:t>
      </w:r>
      <w:r>
        <w:rPr>
          <w:rFonts w:ascii="Theinhardt Regular" w:hAnsi="Theinhardt Regular" w:cs="Theinhardt Regular" w:eastAsia="Theinhardt Regular"/>
          <w:color w:val="231F20"/>
          <w:spacing w:val="1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angle</w:t>
      </w:r>
      <w:r>
        <w:rPr>
          <w:rFonts w:ascii="Theinhardt Regular" w:hAnsi="Theinhardt Regular" w:cs="Theinhardt Regular" w:eastAsia="Theinhardt Regular"/>
          <w:color w:val="231F20"/>
          <w:spacing w:val="1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d’inclinaison</w:t>
      </w:r>
      <w:r>
        <w:rPr>
          <w:rFonts w:ascii="Theinhardt Regular" w:hAnsi="Theinhardt Regular" w:cs="Theinhardt Regular" w:eastAsia="Theinhardt Regular"/>
          <w:color w:val="231F20"/>
          <w:spacing w:val="2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de</w:t>
      </w:r>
      <w:r>
        <w:rPr>
          <w:rFonts w:ascii="Theinhardt Regular" w:hAnsi="Theinhardt Regular" w:cs="Theinhardt Regular" w:eastAsia="Theinhardt Regular"/>
          <w:color w:val="231F20"/>
          <w:spacing w:val="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10</w:t>
      </w:r>
      <w:r>
        <w:rPr>
          <w:rFonts w:ascii="Theinhardt Regular" w:hAnsi="Theinhardt Regular" w:cs="Theinhardt Regular" w:eastAsia="Theinhardt Regular"/>
          <w:color w:val="231F20"/>
          <w:spacing w:val="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3"/>
          <w:sz w:val="18"/>
          <w:szCs w:val="18"/>
        </w:rPr>
        <w:t>degrés.</w:t>
      </w:r>
      <w:r>
        <w:rPr>
          <w:rFonts w:ascii="Theinhardt Regular" w:hAnsi="Theinhardt Regular" w:cs="Theinhardt Regular" w:eastAsia="Theinhardt Regular"/>
          <w:color w:val="231F20"/>
          <w:spacing w:val="-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Mise</w:t>
      </w:r>
      <w:r>
        <w:rPr>
          <w:rFonts w:ascii="Theinhardt Regular" w:hAnsi="Theinhardt Regular" w:cs="Theinhardt Regular" w:eastAsia="Theinhardt Regular"/>
          <w:color w:val="231F20"/>
          <w:spacing w:val="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en</w:t>
      </w:r>
      <w:r>
        <w:rPr>
          <w:rFonts w:ascii="Theinhardt Regular" w:hAnsi="Theinhardt Regular" w:cs="Theinhardt Regular" w:eastAsia="Theinhardt Regular"/>
          <w:color w:val="231F20"/>
          <w:spacing w:val="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service</w:t>
      </w:r>
      <w:r>
        <w:rPr>
          <w:rFonts w:ascii="Theinhardt Regular" w:hAnsi="Theinhardt Regular" w:cs="Theinhardt Regular" w:eastAsia="Theinhardt Regular"/>
          <w:color w:val="231F20"/>
          <w:spacing w:val="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en</w:t>
      </w:r>
      <w:r>
        <w:rPr>
          <w:rFonts w:ascii="Theinhardt Regular" w:hAnsi="Theinhardt Regular" w:cs="Theinhardt Regular" w:eastAsia="Theinhardt Regular"/>
          <w:color w:val="231F20"/>
          <w:spacing w:val="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3"/>
          <w:sz w:val="18"/>
          <w:szCs w:val="18"/>
        </w:rPr>
        <w:t>décembre</w:t>
      </w:r>
      <w:r>
        <w:rPr>
          <w:rFonts w:ascii="Theinhardt Regular" w:hAnsi="Theinhardt Regular" w:cs="Theinhardt Regular" w:eastAsia="Theinhardt Regular"/>
          <w:color w:val="231F20"/>
          <w:spacing w:val="2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2020,</w:t>
      </w:r>
      <w:r>
        <w:rPr>
          <w:rFonts w:ascii="Theinhardt Regular" w:hAnsi="Theinhardt Regular" w:cs="Theinhardt Regular" w:eastAsia="Theinhardt Regular"/>
          <w:color w:val="231F20"/>
          <w:spacing w:val="-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3"/>
          <w:sz w:val="18"/>
          <w:szCs w:val="18"/>
        </w:rPr>
        <w:t>l’infrastructure</w:t>
      </w:r>
      <w:r>
        <w:rPr>
          <w:rFonts w:ascii="Theinhardt Regular" w:hAnsi="Theinhardt Regular" w:cs="Theinhardt Regular" w:eastAsia="Theinhardt Regular"/>
          <w:color w:val="231F20"/>
          <w:spacing w:val="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3"/>
          <w:sz w:val="18"/>
          <w:szCs w:val="18"/>
        </w:rPr>
        <w:t>solaire</w:t>
      </w:r>
      <w:r>
        <w:rPr>
          <w:rFonts w:ascii="Theinhardt Regular" w:hAnsi="Theinhardt Regular" w:cs="Theinhardt Regular" w:eastAsia="Theinhardt Regular"/>
          <w:color w:val="231F20"/>
          <w:spacing w:val="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3"/>
          <w:sz w:val="18"/>
          <w:szCs w:val="18"/>
        </w:rPr>
        <w:t>produit</w:t>
      </w:r>
      <w:r>
        <w:rPr>
          <w:rFonts w:ascii="Theinhardt Regular" w:hAnsi="Theinhardt Regular" w:cs="Theinhardt Regular" w:eastAsia="Theinhardt Regular"/>
          <w:color w:val="231F20"/>
          <w:spacing w:val="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au</w:t>
      </w:r>
      <w:r>
        <w:rPr>
          <w:rFonts w:ascii="Theinhardt Regular" w:hAnsi="Theinhardt Regular" w:cs="Theinhardt Regular" w:eastAsia="Theinhardt Regular"/>
          <w:color w:val="231F20"/>
          <w:spacing w:val="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total</w:t>
      </w:r>
      <w:r>
        <w:rPr>
          <w:rFonts w:ascii="Theinhardt Regular" w:hAnsi="Theinhardt Regular" w:cs="Theinhardt Regular" w:eastAsia="Theinhardt Regular"/>
          <w:color w:val="231F20"/>
          <w:spacing w:val="5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53’500</w:t>
      </w:r>
      <w:r>
        <w:rPr>
          <w:rFonts w:ascii="Theinhardt Regular" w:hAnsi="Theinhardt Regular" w:cs="Theinhardt Regular" w:eastAsia="Theinhardt Regular"/>
          <w:color w:val="231F20"/>
          <w:spacing w:val="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4"/>
          <w:sz w:val="18"/>
          <w:szCs w:val="18"/>
        </w:rPr>
        <w:t>kWh/a</w:t>
      </w:r>
      <w:r>
        <w:rPr>
          <w:rFonts w:ascii="Theinhardt Regular" w:hAnsi="Theinhardt Regular" w:cs="Theinhardt Regular" w:eastAsia="Theinhardt Regular"/>
          <w:color w:val="231F20"/>
          <w:spacing w:val="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et</w:t>
      </w:r>
      <w:r>
        <w:rPr>
          <w:rFonts w:ascii="Theinhardt Regular" w:hAnsi="Theinhardt Regular" w:cs="Theinhardt Regular" w:eastAsia="Theinhardt Regular"/>
          <w:color w:val="231F20"/>
          <w:spacing w:val="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4"/>
          <w:sz w:val="18"/>
          <w:szCs w:val="18"/>
        </w:rPr>
        <w:t>couvre</w:t>
      </w:r>
      <w:r>
        <w:rPr>
          <w:rFonts w:ascii="Theinhardt Regular" w:hAnsi="Theinhardt Regular" w:cs="Theinhardt Regular" w:eastAsia="Theinhardt Regular"/>
          <w:color w:val="231F20"/>
          <w:spacing w:val="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ainsi</w:t>
      </w:r>
      <w:r>
        <w:rPr>
          <w:rFonts w:ascii="Theinhardt Regular" w:hAnsi="Theinhardt Regular" w:cs="Theinhardt Regular" w:eastAsia="Theinhardt Regular"/>
          <w:color w:val="231F20"/>
          <w:spacing w:val="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71%</w:t>
      </w:r>
      <w:r>
        <w:rPr>
          <w:rFonts w:ascii="Theinhardt Regular" w:hAnsi="Theinhardt Regular" w:cs="Theinhardt Regular" w:eastAsia="Theinhardt Regular"/>
          <w:color w:val="231F20"/>
          <w:spacing w:val="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des</w:t>
      </w:r>
      <w:r>
        <w:rPr>
          <w:rFonts w:ascii="Theinhardt Regular" w:hAnsi="Theinhardt Regular" w:cs="Theinhardt Regular" w:eastAsia="Theinhardt Regular"/>
          <w:color w:val="231F20"/>
          <w:spacing w:val="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be-</w:t>
      </w:r>
      <w:r>
        <w:rPr>
          <w:rFonts w:ascii="Theinhardt Regular" w:hAnsi="Theinhardt Regular" w:cs="Theinhardt Regular" w:eastAsia="Theinhardt Regular"/>
          <w:sz w:val="18"/>
          <w:szCs w:val="18"/>
        </w:rPr>
      </w:r>
    </w:p>
    <w:p>
      <w:pPr>
        <w:spacing w:line="232" w:lineRule="exact" w:before="0"/>
        <w:ind w:left="106" w:right="0" w:firstLine="0"/>
        <w:jc w:val="both"/>
        <w:rPr>
          <w:rFonts w:ascii="Theinhardt Regular" w:hAnsi="Theinhardt Regular" w:cs="Theinhardt Regular" w:eastAsia="Theinhardt Regular"/>
          <w:sz w:val="18"/>
          <w:szCs w:val="18"/>
        </w:rPr>
      </w:pP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soins</w:t>
      </w:r>
      <w:r>
        <w:rPr>
          <w:rFonts w:ascii="Theinhardt Regular" w:hAnsi="Theinhardt Regular" w:cs="Theinhardt Regular" w:eastAsia="Theinhardt Regular"/>
          <w:color w:val="231F20"/>
          <w:spacing w:val="-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de</w:t>
      </w:r>
      <w:r>
        <w:rPr>
          <w:rFonts w:ascii="Theinhardt Regular" w:hAnsi="Theinhardt Regular" w:cs="Theinhardt Regular" w:eastAsia="Theinhardt Regular"/>
          <w:color w:val="231F20"/>
          <w:spacing w:val="-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l’immeuble</w:t>
      </w:r>
      <w:r>
        <w:rPr>
          <w:rFonts w:ascii="Theinhardt Regular" w:hAnsi="Theinhardt Regular" w:cs="Theinhardt Regular" w:eastAsia="Theinhardt Regular"/>
          <w:color w:val="231F20"/>
          <w:spacing w:val="-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Sakura.</w:t>
      </w:r>
      <w:r>
        <w:rPr>
          <w:rFonts w:ascii="Theinhardt Regular" w:hAnsi="Theinhardt Regular" w:cs="Theinhardt Regular" w:eastAsia="Theinhardt Regular"/>
          <w:sz w:val="18"/>
          <w:szCs w:val="18"/>
        </w:rPr>
      </w:r>
    </w:p>
    <w:p>
      <w:pPr>
        <w:pStyle w:val="BodyText"/>
        <w:spacing w:line="230" w:lineRule="exact" w:before="71"/>
        <w:ind w:left="107" w:right="4" w:firstLine="0"/>
        <w:jc w:val="both"/>
        <w:rPr>
          <w:i w:val="0"/>
        </w:rPr>
      </w:pPr>
      <w:r>
        <w:rPr>
          <w:i w:val="0"/>
        </w:rPr>
        <w:br w:type="column"/>
      </w:r>
      <w:r>
        <w:rPr>
          <w:color w:val="231F20"/>
        </w:rPr>
        <w:t>Das</w:t>
      </w:r>
      <w:r>
        <w:rPr>
          <w:color w:val="231F20"/>
          <w:spacing w:val="32"/>
        </w:rPr>
        <w:t> </w:t>
      </w:r>
      <w:r>
        <w:rPr>
          <w:color w:val="231F20"/>
          <w:spacing w:val="-3"/>
        </w:rPr>
        <w:t>ästhetisch</w:t>
      </w:r>
      <w:r>
        <w:rPr>
          <w:color w:val="231F20"/>
          <w:spacing w:val="33"/>
        </w:rPr>
        <w:t> </w:t>
      </w:r>
      <w:r>
        <w:rPr>
          <w:color w:val="231F20"/>
          <w:spacing w:val="-4"/>
        </w:rPr>
        <w:t>ansprechende</w:t>
      </w:r>
      <w:r>
        <w:rPr>
          <w:color w:val="231F20"/>
          <w:spacing w:val="32"/>
        </w:rPr>
        <w:t> </w:t>
      </w:r>
      <w:r>
        <w:rPr>
          <w:color w:val="231F20"/>
          <w:spacing w:val="-2"/>
        </w:rPr>
        <w:t>Mehrfamilien-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haus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Sakura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mit</w:t>
      </w:r>
      <w:r>
        <w:rPr>
          <w:color w:val="231F20"/>
          <w:spacing w:val="10"/>
        </w:rPr>
        <w:t> </w:t>
      </w:r>
      <w:r>
        <w:rPr>
          <w:color w:val="231F20"/>
          <w:spacing w:val="-3"/>
        </w:rPr>
        <w:t>neun</w:t>
      </w:r>
      <w:r>
        <w:rPr>
          <w:color w:val="231F20"/>
          <w:spacing w:val="10"/>
        </w:rPr>
        <w:t> </w:t>
      </w:r>
      <w:r>
        <w:rPr>
          <w:color w:val="231F20"/>
          <w:spacing w:val="-4"/>
        </w:rPr>
        <w:t>Wohnungen</w:t>
      </w:r>
      <w:r>
        <w:rPr>
          <w:color w:val="231F20"/>
          <w:spacing w:val="10"/>
        </w:rPr>
        <w:t> </w:t>
      </w:r>
      <w:r>
        <w:rPr>
          <w:color w:val="231F20"/>
          <w:spacing w:val="-3"/>
        </w:rPr>
        <w:t>wurde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2020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als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Ersatzneubau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23"/>
        </w:rPr>
        <w:t> </w:t>
      </w:r>
      <w:r>
        <w:rPr>
          <w:color w:val="231F20"/>
          <w:spacing w:val="-3"/>
        </w:rPr>
        <w:t>Sion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23"/>
        </w:rPr>
        <w:t> </w:t>
      </w:r>
      <w:r>
        <w:rPr>
          <w:color w:val="231F20"/>
          <w:spacing w:val="-3"/>
        </w:rPr>
        <w:t>einer</w:t>
      </w:r>
      <w:r>
        <w:rPr>
          <w:color w:val="231F20"/>
          <w:spacing w:val="23"/>
        </w:rPr>
        <w:t> </w:t>
      </w:r>
      <w:r>
        <w:rPr>
          <w:color w:val="231F20"/>
          <w:spacing w:val="-3"/>
        </w:rPr>
        <w:t>der</w:t>
      </w:r>
      <w:r>
        <w:rPr>
          <w:color w:val="231F20"/>
          <w:spacing w:val="41"/>
        </w:rPr>
        <w:t> </w:t>
      </w:r>
      <w:r>
        <w:rPr>
          <w:color w:val="231F20"/>
          <w:spacing w:val="-4"/>
        </w:rPr>
        <w:t>sonnenreichsten</w:t>
      </w:r>
      <w:r>
        <w:rPr>
          <w:color w:val="231F20"/>
          <w:spacing w:val="28"/>
        </w:rPr>
        <w:t> </w:t>
      </w:r>
      <w:r>
        <w:rPr>
          <w:color w:val="231F20"/>
          <w:spacing w:val="-4"/>
        </w:rPr>
        <w:t>Gegenden</w:t>
      </w:r>
      <w:r>
        <w:rPr>
          <w:color w:val="231F20"/>
          <w:spacing w:val="29"/>
        </w:rPr>
        <w:t> </w:t>
      </w:r>
      <w:r>
        <w:rPr>
          <w:color w:val="231F20"/>
          <w:spacing w:val="-3"/>
        </w:rPr>
        <w:t>der</w:t>
      </w:r>
      <w:r>
        <w:rPr>
          <w:color w:val="231F20"/>
          <w:spacing w:val="28"/>
        </w:rPr>
        <w:t> </w:t>
      </w:r>
      <w:r>
        <w:rPr>
          <w:color w:val="231F20"/>
          <w:spacing w:val="-3"/>
        </w:rPr>
        <w:t>Schweiz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er-</w:t>
      </w:r>
      <w:r>
        <w:rPr>
          <w:color w:val="231F20"/>
          <w:spacing w:val="41"/>
        </w:rPr>
        <w:t> </w:t>
      </w:r>
      <w:r>
        <w:rPr>
          <w:color w:val="231F20"/>
          <w:spacing w:val="-2"/>
        </w:rPr>
        <w:t>stellt.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Dach</w:t>
      </w:r>
      <w:r>
        <w:rPr>
          <w:color w:val="231F20"/>
          <w:spacing w:val="37"/>
        </w:rPr>
        <w:t> </w:t>
      </w:r>
      <w:r>
        <w:rPr>
          <w:color w:val="231F20"/>
          <w:spacing w:val="-3"/>
        </w:rPr>
        <w:t>und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Boden</w:t>
      </w:r>
      <w:r>
        <w:rPr>
          <w:color w:val="231F20"/>
          <w:spacing w:val="37"/>
        </w:rPr>
        <w:t> </w:t>
      </w:r>
      <w:r>
        <w:rPr>
          <w:color w:val="231F20"/>
          <w:spacing w:val="-3"/>
        </w:rPr>
        <w:t>des</w:t>
      </w:r>
      <w:r>
        <w:rPr>
          <w:color w:val="231F20"/>
          <w:spacing w:val="37"/>
        </w:rPr>
        <w:t> </w:t>
      </w:r>
      <w:r>
        <w:rPr>
          <w:color w:val="231F20"/>
          <w:spacing w:val="-2"/>
        </w:rPr>
        <w:t>fast</w:t>
      </w:r>
      <w:r>
        <w:rPr>
          <w:color w:val="231F20"/>
          <w:spacing w:val="36"/>
        </w:rPr>
        <w:t> </w:t>
      </w:r>
      <w:r>
        <w:rPr>
          <w:color w:val="231F20"/>
          <w:spacing w:val="-3"/>
        </w:rPr>
        <w:t>kubischen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MFH-Neubaus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sind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mit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31-40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cm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vorbildlich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gedämmt.</w:t>
      </w:r>
      <w:r>
        <w:rPr>
          <w:i w:val="0"/>
        </w:rPr>
      </w:r>
    </w:p>
    <w:p>
      <w:pPr>
        <w:pStyle w:val="BodyText"/>
        <w:spacing w:line="232" w:lineRule="auto" w:before="15"/>
        <w:ind w:right="4" w:firstLine="227"/>
        <w:jc w:val="both"/>
        <w:rPr>
          <w:i w:val="0"/>
        </w:rPr>
      </w:pPr>
      <w:r>
        <w:rPr>
          <w:color w:val="231F20"/>
        </w:rPr>
        <w:t>Das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Gebäude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ist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zu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100%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mit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LED-Be-</w:t>
      </w:r>
      <w:r>
        <w:rPr>
          <w:color w:val="231F20"/>
          <w:spacing w:val="21"/>
        </w:rPr>
        <w:t> </w:t>
      </w:r>
      <w:r>
        <w:rPr>
          <w:color w:val="231F20"/>
          <w:spacing w:val="-4"/>
        </w:rPr>
        <w:t>leuchtung</w:t>
      </w:r>
      <w:r>
        <w:rPr>
          <w:color w:val="231F20"/>
          <w:spacing w:val="27"/>
        </w:rPr>
        <w:t> </w:t>
      </w:r>
      <w:r>
        <w:rPr>
          <w:color w:val="231F20"/>
          <w:spacing w:val="-3"/>
        </w:rPr>
        <w:t>und</w:t>
      </w:r>
      <w:r>
        <w:rPr>
          <w:color w:val="231F20"/>
          <w:spacing w:val="28"/>
        </w:rPr>
        <w:t> </w:t>
      </w:r>
      <w:r>
        <w:rPr>
          <w:color w:val="231F20"/>
          <w:spacing w:val="-4"/>
        </w:rPr>
        <w:t>energiesparenden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Haushalts-</w:t>
      </w:r>
      <w:r>
        <w:rPr>
          <w:color w:val="231F20"/>
          <w:spacing w:val="55"/>
        </w:rPr>
        <w:t> </w:t>
      </w:r>
      <w:r>
        <w:rPr>
          <w:color w:val="231F20"/>
          <w:spacing w:val="-3"/>
        </w:rPr>
        <w:t>geräten</w:t>
      </w:r>
      <w:r>
        <w:rPr>
          <w:color w:val="231F20"/>
          <w:spacing w:val="39"/>
        </w:rPr>
        <w:t> </w:t>
      </w:r>
      <w:r>
        <w:rPr>
          <w:color w:val="231F20"/>
          <w:spacing w:val="-2"/>
        </w:rPr>
        <w:t>ausgestattet.</w:t>
      </w:r>
      <w:r>
        <w:rPr>
          <w:color w:val="231F20"/>
          <w:spacing w:val="32"/>
        </w:rPr>
        <w:t> </w:t>
      </w:r>
      <w:r>
        <w:rPr>
          <w:color w:val="231F20"/>
        </w:rPr>
        <w:t>Das</w:t>
      </w:r>
      <w:r>
        <w:rPr>
          <w:color w:val="231F20"/>
          <w:spacing w:val="39"/>
        </w:rPr>
        <w:t> </w:t>
      </w:r>
      <w:r>
        <w:rPr>
          <w:color w:val="231F20"/>
          <w:spacing w:val="-3"/>
        </w:rPr>
        <w:t>MFH</w:t>
      </w:r>
      <w:r>
        <w:rPr>
          <w:color w:val="231F20"/>
          <w:spacing w:val="40"/>
        </w:rPr>
        <w:t> </w:t>
      </w:r>
      <w:r>
        <w:rPr>
          <w:color w:val="231F20"/>
          <w:spacing w:val="-2"/>
        </w:rPr>
        <w:t>Sakura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mit</w:t>
      </w:r>
      <w:r>
        <w:rPr>
          <w:color w:val="231F20"/>
          <w:spacing w:val="25"/>
        </w:rPr>
        <w:t> </w:t>
      </w:r>
      <w:r>
        <w:rPr>
          <w:color w:val="231F20"/>
          <w:spacing w:val="-3"/>
        </w:rPr>
        <w:t>einer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Energiebezugsfläche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von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1’705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m</w:t>
      </w:r>
      <w:r>
        <w:rPr>
          <w:color w:val="231F20"/>
          <w:spacing w:val="-1"/>
          <w:position w:val="6"/>
          <w:sz w:val="10"/>
          <w:szCs w:val="10"/>
        </w:rPr>
        <w:t>2</w:t>
      </w:r>
      <w:r>
        <w:rPr>
          <w:color w:val="231F20"/>
          <w:spacing w:val="26"/>
          <w:position w:val="6"/>
          <w:sz w:val="10"/>
          <w:szCs w:val="10"/>
        </w:rPr>
        <w:t> </w:t>
      </w:r>
      <w:r>
        <w:rPr>
          <w:color w:val="231F20"/>
          <w:spacing w:val="-2"/>
        </w:rPr>
        <w:t>be-</w:t>
      </w:r>
      <w:r>
        <w:rPr>
          <w:color w:val="231F20"/>
          <w:spacing w:val="29"/>
        </w:rPr>
        <w:t> </w:t>
      </w:r>
      <w:r>
        <w:rPr>
          <w:color w:val="231F20"/>
          <w:spacing w:val="-3"/>
        </w:rPr>
        <w:t>nötigt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insgesamt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rund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75’400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kW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Strom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pro</w:t>
      </w:r>
      <w:r>
        <w:rPr>
          <w:color w:val="231F20"/>
          <w:spacing w:val="29"/>
        </w:rPr>
        <w:t> </w:t>
      </w:r>
      <w:r>
        <w:rPr>
          <w:color w:val="231F20"/>
          <w:spacing w:val="-5"/>
        </w:rPr>
        <w:t>Jahr.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Zusätzlich</w:t>
      </w:r>
      <w:r>
        <w:rPr>
          <w:color w:val="231F20"/>
          <w:spacing w:val="12"/>
        </w:rPr>
        <w:t> </w:t>
      </w:r>
      <w:r>
        <w:rPr>
          <w:color w:val="231F20"/>
          <w:spacing w:val="-5"/>
        </w:rPr>
        <w:t>werden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10’500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kWh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im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Jahr</w:t>
      </w:r>
      <w:r>
        <w:rPr>
          <w:color w:val="231F20"/>
          <w:spacing w:val="35"/>
          <w:w w:val="99"/>
        </w:rPr>
        <w:t> </w:t>
      </w:r>
      <w:r>
        <w:rPr>
          <w:color w:val="231F20"/>
          <w:spacing w:val="-1"/>
        </w:rPr>
        <w:t>für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die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vier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zum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MFH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gehörenden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Elektroautos</w:t>
      </w:r>
      <w:r>
        <w:rPr>
          <w:color w:val="231F20"/>
          <w:spacing w:val="35"/>
          <w:w w:val="99"/>
        </w:rPr>
        <w:t> </w:t>
      </w:r>
      <w:r>
        <w:rPr>
          <w:color w:val="231F20"/>
          <w:spacing w:val="-3"/>
        </w:rPr>
        <w:t>benötigt.</w:t>
      </w:r>
      <w:r>
        <w:rPr>
          <w:i w:val="0"/>
        </w:rPr>
      </w:r>
    </w:p>
    <w:p>
      <w:pPr>
        <w:pStyle w:val="BodyText"/>
        <w:spacing w:line="232" w:lineRule="auto"/>
        <w:ind w:right="4"/>
        <w:jc w:val="both"/>
        <w:rPr>
          <w:i w:val="0"/>
        </w:rPr>
      </w:pPr>
      <w:r>
        <w:rPr>
          <w:color w:val="231F20"/>
          <w:spacing w:val="-1"/>
        </w:rPr>
        <w:t>Der</w:t>
      </w:r>
      <w:r>
        <w:rPr>
          <w:color w:val="231F20"/>
          <w:spacing w:val="16"/>
        </w:rPr>
        <w:t> </w:t>
      </w:r>
      <w:r>
        <w:rPr>
          <w:color w:val="231F20"/>
          <w:spacing w:val="-4"/>
        </w:rPr>
        <w:t>moderne</w:t>
      </w:r>
      <w:r>
        <w:rPr>
          <w:color w:val="231F20"/>
          <w:spacing w:val="16"/>
        </w:rPr>
        <w:t> </w:t>
      </w:r>
      <w:r>
        <w:rPr>
          <w:color w:val="231F20"/>
          <w:spacing w:val="-3"/>
        </w:rPr>
        <w:t>und</w:t>
      </w:r>
      <w:r>
        <w:rPr>
          <w:color w:val="231F20"/>
          <w:spacing w:val="16"/>
        </w:rPr>
        <w:t> </w:t>
      </w:r>
      <w:r>
        <w:rPr>
          <w:color w:val="231F20"/>
          <w:spacing w:val="-3"/>
        </w:rPr>
        <w:t>geradlinig</w:t>
      </w:r>
      <w:r>
        <w:rPr>
          <w:color w:val="231F20"/>
          <w:spacing w:val="16"/>
        </w:rPr>
        <w:t> </w:t>
      </w:r>
      <w:r>
        <w:rPr>
          <w:color w:val="231F20"/>
          <w:spacing w:val="-3"/>
        </w:rPr>
        <w:t>gestaltete</w:t>
      </w:r>
      <w:r>
        <w:rPr>
          <w:color w:val="231F20"/>
          <w:spacing w:val="39"/>
        </w:rPr>
        <w:t> </w:t>
      </w:r>
      <w:r>
        <w:rPr>
          <w:color w:val="231F20"/>
          <w:spacing w:val="-2"/>
        </w:rPr>
        <w:t>Holzbau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nutzt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die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Solarenergie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passiv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an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der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Ost-</w:t>
      </w:r>
      <w:r>
        <w:rPr>
          <w:color w:val="231F20"/>
          <w:spacing w:val="30"/>
        </w:rPr>
        <w:t> </w:t>
      </w:r>
      <w:r>
        <w:rPr>
          <w:color w:val="231F20"/>
          <w:spacing w:val="-3"/>
        </w:rPr>
        <w:t>und</w:t>
      </w:r>
      <w:r>
        <w:rPr>
          <w:color w:val="231F20"/>
          <w:spacing w:val="31"/>
        </w:rPr>
        <w:t> </w:t>
      </w:r>
      <w:r>
        <w:rPr>
          <w:color w:val="231F20"/>
          <w:spacing w:val="-3"/>
        </w:rPr>
        <w:t>West-Fassade.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Die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Südfassade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ist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mit</w:t>
      </w:r>
      <w:r>
        <w:rPr>
          <w:color w:val="231F20"/>
          <w:spacing w:val="27"/>
        </w:rPr>
        <w:t> </w:t>
      </w:r>
      <w:r>
        <w:rPr>
          <w:color w:val="231F20"/>
          <w:spacing w:val="-3"/>
        </w:rPr>
        <w:t>einer</w:t>
      </w:r>
      <w:r>
        <w:rPr>
          <w:color w:val="231F20"/>
          <w:spacing w:val="28"/>
        </w:rPr>
        <w:t> </w:t>
      </w:r>
      <w:r>
        <w:rPr>
          <w:color w:val="231F20"/>
          <w:spacing w:val="-3"/>
        </w:rPr>
        <w:t>sorgfältig</w:t>
      </w:r>
      <w:r>
        <w:rPr>
          <w:color w:val="231F20"/>
          <w:spacing w:val="27"/>
        </w:rPr>
        <w:t> </w:t>
      </w:r>
      <w:r>
        <w:rPr>
          <w:color w:val="231F20"/>
          <w:spacing w:val="-3"/>
        </w:rPr>
        <w:t>integrierten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solarthermi-</w:t>
      </w:r>
      <w:r>
        <w:rPr>
          <w:color w:val="231F20"/>
          <w:spacing w:val="53"/>
        </w:rPr>
        <w:t> </w:t>
      </w:r>
      <w:r>
        <w:rPr>
          <w:color w:val="231F20"/>
          <w:spacing w:val="-4"/>
        </w:rPr>
        <w:t>schen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Anlage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ausgestattet,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die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21’000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kWh/a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liefert.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Die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vertikale</w:t>
      </w:r>
      <w:r>
        <w:rPr>
          <w:color w:val="231F20"/>
          <w:spacing w:val="18"/>
        </w:rPr>
        <w:t> </w:t>
      </w:r>
      <w:r>
        <w:rPr>
          <w:color w:val="231F20"/>
          <w:spacing w:val="-3"/>
        </w:rPr>
        <w:t>Anordnung</w:t>
      </w:r>
      <w:r>
        <w:rPr>
          <w:color w:val="231F20"/>
          <w:spacing w:val="18"/>
        </w:rPr>
        <w:t> </w:t>
      </w:r>
      <w:r>
        <w:rPr>
          <w:color w:val="231F20"/>
          <w:spacing w:val="-3"/>
        </w:rPr>
        <w:t>der</w:t>
      </w:r>
      <w:r>
        <w:rPr>
          <w:color w:val="231F20"/>
          <w:spacing w:val="18"/>
        </w:rPr>
        <w:t> </w:t>
      </w:r>
      <w:r>
        <w:rPr>
          <w:color w:val="231F20"/>
          <w:spacing w:val="-3"/>
        </w:rPr>
        <w:t>Sonnen-</w:t>
      </w:r>
      <w:r>
        <w:rPr>
          <w:color w:val="231F20"/>
          <w:spacing w:val="31"/>
        </w:rPr>
        <w:t> </w:t>
      </w:r>
      <w:r>
        <w:rPr>
          <w:color w:val="231F20"/>
          <w:spacing w:val="-4"/>
        </w:rPr>
        <w:t>kollektoren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soll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den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winterlichen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Solarenergie-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ertrag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optimieren.</w:t>
      </w:r>
      <w:r>
        <w:rPr>
          <w:i w:val="0"/>
        </w:rPr>
      </w:r>
    </w:p>
    <w:p>
      <w:pPr>
        <w:pStyle w:val="BodyText"/>
        <w:spacing w:line="232" w:lineRule="auto"/>
        <w:ind w:right="0"/>
        <w:jc w:val="both"/>
        <w:rPr>
          <w:i w:val="0"/>
        </w:rPr>
      </w:pPr>
      <w:r>
        <w:rPr>
          <w:color w:val="231F20"/>
          <w:spacing w:val="-2"/>
        </w:rPr>
        <w:t>Auf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dem</w:t>
      </w:r>
      <w:r>
        <w:rPr>
          <w:color w:val="231F20"/>
          <w:spacing w:val="2"/>
        </w:rPr>
        <w:t> </w:t>
      </w:r>
      <w:r>
        <w:rPr>
          <w:color w:val="231F20"/>
          <w:spacing w:val="-5"/>
        </w:rPr>
        <w:t>Flachdach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des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MFH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ist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eine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27.3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kW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starke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PV-Aufdachanlage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montiert,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die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rund</w:t>
      </w:r>
      <w:r>
        <w:rPr>
          <w:color w:val="231F20"/>
          <w:spacing w:val="25"/>
        </w:rPr>
        <w:t> </w:t>
      </w:r>
      <w:r>
        <w:rPr>
          <w:color w:val="231F20"/>
          <w:spacing w:val="-4"/>
        </w:rPr>
        <w:t>32’500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kWh/a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erzeugt.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Die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PV-Module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sind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im</w:t>
      </w:r>
      <w:r>
        <w:rPr>
          <w:color w:val="231F20"/>
          <w:spacing w:val="37"/>
        </w:rPr>
        <w:t> </w:t>
      </w:r>
      <w:r>
        <w:rPr>
          <w:color w:val="231F20"/>
          <w:spacing w:val="-4"/>
        </w:rPr>
        <w:t>Winkel</w:t>
      </w:r>
      <w:r>
        <w:rPr>
          <w:color w:val="231F20"/>
          <w:spacing w:val="16"/>
        </w:rPr>
        <w:t> </w:t>
      </w:r>
      <w:r>
        <w:rPr>
          <w:color w:val="231F20"/>
          <w:spacing w:val="-4"/>
        </w:rPr>
        <w:t>von</w:t>
      </w:r>
      <w:r>
        <w:rPr>
          <w:color w:val="231F20"/>
          <w:spacing w:val="16"/>
        </w:rPr>
        <w:t> </w:t>
      </w:r>
      <w:r>
        <w:rPr>
          <w:color w:val="231F20"/>
          <w:spacing w:val="-3"/>
        </w:rPr>
        <w:t>10°</w:t>
      </w:r>
      <w:r>
        <w:rPr>
          <w:color w:val="231F20"/>
          <w:spacing w:val="16"/>
        </w:rPr>
        <w:t> </w:t>
      </w:r>
      <w:r>
        <w:rPr>
          <w:color w:val="231F20"/>
          <w:spacing w:val="-4"/>
        </w:rPr>
        <w:t>aufgeständert</w:t>
      </w:r>
      <w:r>
        <w:rPr>
          <w:color w:val="231F20"/>
          <w:spacing w:val="16"/>
        </w:rPr>
        <w:t> </w:t>
      </w:r>
      <w:r>
        <w:rPr>
          <w:color w:val="231F20"/>
          <w:spacing w:val="-4"/>
        </w:rPr>
        <w:t>und</w:t>
      </w:r>
      <w:r>
        <w:rPr>
          <w:color w:val="231F20"/>
          <w:spacing w:val="16"/>
        </w:rPr>
        <w:t> </w:t>
      </w:r>
      <w:r>
        <w:rPr>
          <w:color w:val="231F20"/>
          <w:spacing w:val="-4"/>
        </w:rPr>
        <w:t>nach</w:t>
      </w:r>
      <w:r>
        <w:rPr>
          <w:color w:val="231F20"/>
          <w:spacing w:val="16"/>
        </w:rPr>
        <w:t> </w:t>
      </w:r>
      <w:r>
        <w:rPr>
          <w:color w:val="231F20"/>
          <w:spacing w:val="-4"/>
        </w:rPr>
        <w:t>Ost-</w:t>
      </w:r>
      <w:r>
        <w:rPr>
          <w:color w:val="231F20"/>
          <w:spacing w:val="23"/>
        </w:rPr>
        <w:t> </w:t>
      </w:r>
      <w:r>
        <w:rPr>
          <w:color w:val="231F20"/>
          <w:spacing w:val="-5"/>
        </w:rPr>
        <w:t>West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ausgerichtet.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Die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Solaranlagen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wurden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im</w:t>
      </w:r>
      <w:r>
        <w:rPr>
          <w:color w:val="231F20"/>
          <w:spacing w:val="35"/>
        </w:rPr>
        <w:t> </w:t>
      </w:r>
      <w:r>
        <w:rPr>
          <w:color w:val="231F20"/>
          <w:spacing w:val="-4"/>
        </w:rPr>
        <w:t>Dezember</w:t>
      </w:r>
      <w:r>
        <w:rPr>
          <w:color w:val="231F20"/>
          <w:spacing w:val="32"/>
        </w:rPr>
        <w:t> </w:t>
      </w:r>
      <w:r>
        <w:rPr>
          <w:color w:val="231F20"/>
          <w:spacing w:val="-3"/>
        </w:rPr>
        <w:t>2020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32"/>
        </w:rPr>
        <w:t> </w:t>
      </w:r>
      <w:r>
        <w:rPr>
          <w:color w:val="231F20"/>
          <w:spacing w:val="-4"/>
        </w:rPr>
        <w:t>Betrieb</w:t>
      </w:r>
      <w:r>
        <w:rPr>
          <w:color w:val="231F20"/>
          <w:spacing w:val="33"/>
        </w:rPr>
        <w:t> </w:t>
      </w:r>
      <w:r>
        <w:rPr>
          <w:color w:val="231F20"/>
          <w:spacing w:val="-5"/>
        </w:rPr>
        <w:t>genommen</w:t>
      </w:r>
      <w:r>
        <w:rPr>
          <w:color w:val="231F20"/>
          <w:spacing w:val="33"/>
        </w:rPr>
        <w:t> </w:t>
      </w:r>
      <w:r>
        <w:rPr>
          <w:color w:val="231F20"/>
          <w:spacing w:val="-4"/>
        </w:rPr>
        <w:t>und</w:t>
      </w:r>
      <w:r>
        <w:rPr>
          <w:color w:val="231F20"/>
          <w:spacing w:val="28"/>
        </w:rPr>
        <w:t> </w:t>
      </w:r>
      <w:r>
        <w:rPr>
          <w:color w:val="231F20"/>
          <w:spacing w:val="-5"/>
        </w:rPr>
        <w:t>produzieren</w:t>
      </w:r>
      <w:r>
        <w:rPr>
          <w:color w:val="231F20"/>
          <w:spacing w:val="25"/>
        </w:rPr>
        <w:t> </w:t>
      </w:r>
      <w:r>
        <w:rPr>
          <w:color w:val="231F20"/>
          <w:spacing w:val="-4"/>
        </w:rPr>
        <w:t>zusammen</w:t>
      </w:r>
      <w:r>
        <w:rPr>
          <w:color w:val="231F20"/>
          <w:spacing w:val="26"/>
        </w:rPr>
        <w:t> </w:t>
      </w:r>
      <w:r>
        <w:rPr>
          <w:color w:val="231F20"/>
          <w:spacing w:val="-4"/>
        </w:rPr>
        <w:t>rund</w:t>
      </w:r>
      <w:r>
        <w:rPr>
          <w:color w:val="231F20"/>
          <w:spacing w:val="25"/>
        </w:rPr>
        <w:t> </w:t>
      </w:r>
      <w:r>
        <w:rPr>
          <w:color w:val="231F20"/>
          <w:spacing w:val="-4"/>
        </w:rPr>
        <w:t>53’500</w:t>
      </w:r>
      <w:r>
        <w:rPr>
          <w:color w:val="231F20"/>
          <w:spacing w:val="26"/>
        </w:rPr>
        <w:t> </w:t>
      </w:r>
      <w:r>
        <w:rPr>
          <w:color w:val="231F20"/>
          <w:spacing w:val="-5"/>
        </w:rPr>
        <w:t>kWh/a.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Damit</w:t>
      </w:r>
      <w:r>
        <w:rPr>
          <w:color w:val="231F20"/>
          <w:spacing w:val="32"/>
        </w:rPr>
        <w:t> </w:t>
      </w:r>
      <w:r>
        <w:rPr>
          <w:color w:val="231F20"/>
          <w:spacing w:val="-6"/>
        </w:rPr>
        <w:t>decken</w:t>
      </w:r>
      <w:r>
        <w:rPr>
          <w:color w:val="231F20"/>
          <w:spacing w:val="33"/>
        </w:rPr>
        <w:t> </w:t>
      </w:r>
      <w:r>
        <w:rPr>
          <w:color w:val="231F20"/>
          <w:spacing w:val="-4"/>
        </w:rPr>
        <w:t>sie</w:t>
      </w:r>
      <w:r>
        <w:rPr>
          <w:color w:val="231F20"/>
          <w:spacing w:val="32"/>
        </w:rPr>
        <w:t> </w:t>
      </w:r>
      <w:r>
        <w:rPr>
          <w:color w:val="231F20"/>
          <w:spacing w:val="-4"/>
        </w:rPr>
        <w:t>den</w:t>
      </w:r>
      <w:r>
        <w:rPr>
          <w:color w:val="231F20"/>
          <w:spacing w:val="33"/>
        </w:rPr>
        <w:t> </w:t>
      </w:r>
      <w:r>
        <w:rPr>
          <w:color w:val="231F20"/>
          <w:spacing w:val="-4"/>
        </w:rPr>
        <w:t>Gesamtenergiebedarf</w:t>
      </w:r>
      <w:r>
        <w:rPr>
          <w:color w:val="231F20"/>
          <w:spacing w:val="26"/>
        </w:rPr>
        <w:t> </w:t>
      </w:r>
      <w:r>
        <w:rPr>
          <w:color w:val="231F20"/>
          <w:spacing w:val="-4"/>
        </w:rPr>
        <w:t>des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MFH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Sakura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zu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71%.</w:t>
      </w:r>
      <w:r>
        <w:rPr>
          <w:i w:val="0"/>
        </w:rPr>
      </w:r>
    </w:p>
    <w:p>
      <w:pPr>
        <w:spacing w:before="67"/>
        <w:ind w:left="107" w:right="0" w:firstLine="0"/>
        <w:jc w:val="both"/>
        <w:rPr>
          <w:rFonts w:ascii="Theinhardt Black" w:hAnsi="Theinhardt Black" w:cs="Theinhardt Black" w:eastAsia="Theinhardt Black"/>
          <w:sz w:val="14"/>
          <w:szCs w:val="14"/>
        </w:rPr>
      </w:pPr>
      <w:r>
        <w:rPr/>
        <w:br w:type="column"/>
      </w:r>
      <w:r>
        <w:rPr>
          <w:rFonts w:ascii="Theinhardt Black" w:hAnsi="Theinhardt Black"/>
          <w:b/>
          <w:color w:val="231F20"/>
          <w:spacing w:val="1"/>
          <w:sz w:val="14"/>
        </w:rPr>
        <w:t>Données</w:t>
      </w:r>
      <w:r>
        <w:rPr>
          <w:rFonts w:ascii="Theinhardt Black" w:hAnsi="Theinhardt Black"/>
          <w:b/>
          <w:color w:val="231F20"/>
          <w:sz w:val="14"/>
        </w:rPr>
        <w:t> techniques</w:t>
      </w:r>
      <w:r>
        <w:rPr>
          <w:rFonts w:ascii="Theinhardt Black" w:hAns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07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spacing w:line="172" w:lineRule="exact" w:before="20"/>
        <w:ind w:left="107" w:right="0" w:firstLine="0"/>
        <w:jc w:val="both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Isolation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thermique</w:t>
      </w:r>
      <w:r>
        <w:rPr>
          <w:rFonts w:ascii="Theinhardt Bold"/>
          <w:sz w:val="14"/>
        </w:rPr>
      </w:r>
    </w:p>
    <w:p>
      <w:pPr>
        <w:tabs>
          <w:tab w:pos="966" w:val="left" w:leader="none"/>
          <w:tab w:pos="1196" w:val="left" w:leader="none"/>
          <w:tab w:pos="2669" w:val="left" w:leader="none"/>
        </w:tabs>
        <w:spacing w:line="207" w:lineRule="auto" w:before="6"/>
        <w:ind w:left="107" w:right="165" w:firstLine="0"/>
        <w:jc w:val="both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1"/>
          <w:sz w:val="14"/>
        </w:rPr>
        <w:t>Mur:</w:t>
        <w:tab/>
        <w:tab/>
      </w:r>
      <w:r>
        <w:rPr>
          <w:rFonts w:ascii="Theinhardt Regular" w:hAnsi="Theinhardt Regular"/>
          <w:color w:val="231F20"/>
          <w:spacing w:val="-2"/>
          <w:sz w:val="14"/>
        </w:rPr>
        <w:t>24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cm</w:t>
      </w:r>
      <w:r>
        <w:rPr>
          <w:rFonts w:ascii="Theinhardt Regular" w:hAnsi="Theinhardt Regular"/>
          <w:color w:val="231F20"/>
          <w:sz w:val="14"/>
        </w:rPr>
        <w:t>  </w:t>
      </w:r>
      <w:r>
        <w:rPr>
          <w:rFonts w:ascii="Theinhardt Regular" w:hAnsi="Theinhardt Regular"/>
          <w:color w:val="231F20"/>
          <w:spacing w:val="14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Valeur U:</w:t>
        <w:tab/>
      </w:r>
      <w:r>
        <w:rPr>
          <w:rFonts w:ascii="Theinhardt Regular" w:hAnsi="Theinhardt Regular"/>
          <w:color w:val="231F20"/>
          <w:spacing w:val="-7"/>
          <w:sz w:val="14"/>
        </w:rPr>
        <w:t>0.11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2"/>
          <w:sz w:val="14"/>
        </w:rPr>
        <w:t>W/m</w:t>
      </w:r>
      <w:r>
        <w:rPr>
          <w:rFonts w:ascii="Theinhardt Regular" w:hAns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 w:hAnsi="Theinhardt Regular"/>
          <w:color w:val="231F20"/>
          <w:spacing w:val="-2"/>
          <w:sz w:val="14"/>
        </w:rPr>
        <w:t>K</w:t>
      </w:r>
      <w:r>
        <w:rPr>
          <w:rFonts w:ascii="Theinhardt Regular" w:hAnsi="Theinhardt Regular"/>
          <w:color w:val="231F20"/>
          <w:spacing w:val="29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Toit:</w:t>
        <w:tab/>
      </w:r>
      <w:r>
        <w:rPr>
          <w:rFonts w:ascii="Theinhardt Regular" w:hAnsi="Theinhardt Regular"/>
          <w:color w:val="231F20"/>
          <w:spacing w:val="2"/>
          <w:sz w:val="14"/>
        </w:rPr>
        <w:t>34-40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cm</w:t>
      </w:r>
      <w:r>
        <w:rPr>
          <w:rFonts w:ascii="Theinhardt Regular" w:hAnsi="Theinhardt Regular"/>
          <w:color w:val="231F20"/>
          <w:sz w:val="14"/>
        </w:rPr>
        <w:t>  </w:t>
      </w:r>
      <w:r>
        <w:rPr>
          <w:rFonts w:ascii="Theinhardt Regular" w:hAnsi="Theinhardt Regular"/>
          <w:color w:val="231F20"/>
          <w:spacing w:val="14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Valeur U:    </w:t>
      </w:r>
      <w:r>
        <w:rPr>
          <w:rFonts w:ascii="Theinhardt Regular" w:hAnsi="Theinhardt Regular"/>
          <w:color w:val="231F20"/>
          <w:spacing w:val="4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0.07 </w:t>
      </w:r>
      <w:r>
        <w:rPr>
          <w:rFonts w:ascii="Theinhardt Regular" w:hAnsi="Theinhardt Regular"/>
          <w:color w:val="231F20"/>
          <w:spacing w:val="-2"/>
          <w:sz w:val="14"/>
        </w:rPr>
        <w:t>W/m</w:t>
      </w:r>
      <w:r>
        <w:rPr>
          <w:rFonts w:ascii="Theinhardt Regular" w:hAns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 w:hAnsi="Theinhardt Regular"/>
          <w:color w:val="231F20"/>
          <w:spacing w:val="-2"/>
          <w:sz w:val="14"/>
        </w:rPr>
        <w:t>K</w:t>
      </w:r>
      <w:r>
        <w:rPr>
          <w:rFonts w:ascii="Theinhardt Regular" w:hAnsi="Theinhardt Regular"/>
          <w:color w:val="231F20"/>
          <w:spacing w:val="3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Sol:</w:t>
        <w:tab/>
        <w:tab/>
      </w:r>
      <w:r>
        <w:rPr>
          <w:rFonts w:ascii="Theinhardt Regular" w:hAnsi="Theinhardt Regular"/>
          <w:color w:val="231F20"/>
          <w:spacing w:val="-3"/>
          <w:sz w:val="14"/>
        </w:rPr>
        <w:t>31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cm</w:t>
      </w:r>
      <w:r>
        <w:rPr>
          <w:rFonts w:ascii="Theinhardt Regular" w:hAnsi="Theinhardt Regular"/>
          <w:color w:val="231F20"/>
          <w:spacing w:val="14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Valeur U:</w:t>
      </w:r>
      <w:r>
        <w:rPr>
          <w:rFonts w:ascii="Theinhardt Regular" w:hAnsi="Theinhardt Regular"/>
          <w:color w:val="231F20"/>
          <w:spacing w:val="2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0.08 </w:t>
      </w:r>
      <w:r>
        <w:rPr>
          <w:rFonts w:ascii="Theinhardt Regular" w:hAnsi="Theinhardt Regular"/>
          <w:color w:val="231F20"/>
          <w:spacing w:val="-2"/>
          <w:sz w:val="14"/>
        </w:rPr>
        <w:t>W/m</w:t>
      </w:r>
      <w:r>
        <w:rPr>
          <w:rFonts w:ascii="Theinhardt Regular" w:hAns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 w:hAnsi="Theinhardt Regular"/>
          <w:color w:val="231F20"/>
          <w:spacing w:val="-2"/>
          <w:sz w:val="14"/>
        </w:rPr>
        <w:t>K</w:t>
      </w:r>
      <w:r>
        <w:rPr>
          <w:rFonts w:ascii="Theinhardt Regular" w:hAnsi="Theinhardt Regular"/>
          <w:color w:val="231F20"/>
          <w:spacing w:val="28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Fenêtre:</w:t>
      </w:r>
      <w:r>
        <w:rPr>
          <w:rFonts w:ascii="Theinhardt Regular" w:hAnsi="Theinhardt Regular"/>
          <w:color w:val="231F20"/>
          <w:sz w:val="14"/>
        </w:rPr>
        <w:t>   </w:t>
      </w:r>
      <w:r>
        <w:rPr>
          <w:rFonts w:ascii="Theinhardt Regular" w:hAnsi="Theinhardt Regular"/>
          <w:color w:val="231F20"/>
          <w:spacing w:val="19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triple-vitrage</w:t>
      </w:r>
      <w:r>
        <w:rPr>
          <w:rFonts w:ascii="Theinhardt Regular" w:hAnsi="Theinhardt Regular"/>
          <w:color w:val="231F20"/>
          <w:sz w:val="14"/>
        </w:rPr>
        <w:t>  </w:t>
      </w:r>
      <w:r>
        <w:rPr>
          <w:rFonts w:ascii="Theinhardt Regular" w:hAnsi="Theinhardt Regular"/>
          <w:color w:val="231F20"/>
          <w:spacing w:val="14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Valeur U:         </w:t>
      </w:r>
      <w:r>
        <w:rPr>
          <w:rFonts w:ascii="Theinhardt Regular" w:hAnsi="Theinhardt Regular"/>
          <w:color w:val="231F20"/>
          <w:spacing w:val="14"/>
          <w:sz w:val="14"/>
        </w:rPr>
        <w:t> </w:t>
      </w:r>
      <w:r>
        <w:rPr>
          <w:rFonts w:ascii="Theinhardt Regular" w:hAnsi="Theinhardt Regular"/>
          <w:color w:val="231F20"/>
          <w:spacing w:val="-3"/>
          <w:sz w:val="14"/>
        </w:rPr>
        <w:t>0.73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2"/>
          <w:sz w:val="14"/>
        </w:rPr>
        <w:t>W/m</w:t>
      </w:r>
      <w:r>
        <w:rPr>
          <w:rFonts w:ascii="Theinhardt Regular" w:hAns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 w:hAnsi="Theinhardt Regular"/>
          <w:color w:val="231F20"/>
          <w:spacing w:val="-2"/>
          <w:sz w:val="14"/>
        </w:rPr>
        <w:t>K</w:t>
      </w:r>
      <w:r>
        <w:rPr>
          <w:rFonts w:ascii="Theinhardt Regular" w:hAnsi="Theinhardt Regular"/>
          <w:sz w:val="14"/>
        </w:rPr>
      </w:r>
    </w:p>
    <w:p>
      <w:pPr>
        <w:spacing w:line="240" w:lineRule="auto" w:before="6"/>
        <w:rPr>
          <w:rFonts w:ascii="Theinhardt Regular" w:hAnsi="Theinhardt Regular" w:cs="Theinhardt Regular" w:eastAsia="Theinhardt Regular"/>
          <w:sz w:val="6"/>
          <w:szCs w:val="6"/>
        </w:rPr>
      </w:pPr>
    </w:p>
    <w:tbl>
      <w:tblPr>
        <w:tblW w:w="0" w:type="auto"/>
        <w:jc w:val="left"/>
        <w:tblInd w:w="5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5"/>
        <w:gridCol w:w="399"/>
        <w:gridCol w:w="421"/>
        <w:gridCol w:w="699"/>
        <w:gridCol w:w="458"/>
        <w:gridCol w:w="656"/>
      </w:tblGrid>
      <w:tr>
        <w:trPr>
          <w:trHeight w:val="129" w:hRule="exact"/>
        </w:trPr>
        <w:tc>
          <w:tcPr>
            <w:tcW w:w="1586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3" w:lineRule="exact"/>
              <w:ind w:left="55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 w:hAnsi="Theinhardt Bold"/>
                <w:b/>
                <w:color w:val="231F20"/>
                <w:spacing w:val="1"/>
                <w:sz w:val="14"/>
              </w:rPr>
              <w:t>Besoin</w:t>
            </w:r>
            <w:r>
              <w:rPr>
                <w:rFonts w:ascii="Theinhardt Bold" w:hAnsi="Theinhardt Bold"/>
                <w:b/>
                <w:color w:val="231F20"/>
                <w:sz w:val="14"/>
              </w:rPr>
              <w:t> </w:t>
            </w:r>
            <w:r>
              <w:rPr>
                <w:rFonts w:ascii="Theinhardt Bold" w:hAnsi="Theinhardt Bold"/>
                <w:b/>
                <w:color w:val="231F20"/>
                <w:spacing w:val="1"/>
                <w:sz w:val="14"/>
              </w:rPr>
              <w:t>en</w:t>
            </w:r>
            <w:r>
              <w:rPr>
                <w:rFonts w:ascii="Theinhardt Bold" w:hAnsi="Theinhardt Bold"/>
                <w:b/>
                <w:color w:val="231F20"/>
                <w:sz w:val="14"/>
              </w:rPr>
              <w:t> </w:t>
            </w:r>
            <w:r>
              <w:rPr>
                <w:rFonts w:ascii="Theinhardt Bold" w:hAnsi="Theinhardt Bold"/>
                <w:b/>
                <w:color w:val="231F20"/>
                <w:spacing w:val="1"/>
                <w:sz w:val="14"/>
              </w:rPr>
              <w:t>énergie</w:t>
            </w:r>
            <w:r>
              <w:rPr>
                <w:rFonts w:ascii="Theinhardt Bold" w:hAnsi="Theinhardt Bold"/>
                <w:sz w:val="14"/>
              </w:rPr>
            </w:r>
          </w:p>
        </w:tc>
        <w:tc>
          <w:tcPr>
            <w:tcW w:w="1813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60" w:hRule="exact"/>
        </w:trPr>
        <w:tc>
          <w:tcPr>
            <w:tcW w:w="1586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4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8"/>
                <w:szCs w:val="8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pacing w:val="1"/>
                <w:sz w:val="14"/>
                <w:szCs w:val="14"/>
              </w:rPr>
              <w:t>SRE:</w:t>
            </w:r>
            <w:r>
              <w:rPr>
                <w:rFonts w:ascii="Theinhardt Regular" w:hAnsi="Theinhardt Regular" w:cs="Theinhardt Regular" w:eastAsia="Theinhardt Regular"/>
                <w:color w:val="231F20"/>
                <w:sz w:val="14"/>
                <w:szCs w:val="14"/>
              </w:rPr>
              <w:t> </w:t>
            </w:r>
            <w:r>
              <w:rPr>
                <w:rFonts w:ascii="Theinhardt Regular" w:hAnsi="Theinhardt Regular" w:cs="Theinhardt Regular" w:eastAsia="Theinhardt Regular"/>
                <w:color w:val="231F20"/>
                <w:spacing w:val="-1"/>
                <w:sz w:val="14"/>
                <w:szCs w:val="14"/>
              </w:rPr>
              <w:t>1’705</w:t>
            </w:r>
            <w:r>
              <w:rPr>
                <w:rFonts w:ascii="Theinhardt Regular" w:hAnsi="Theinhardt Regular" w:cs="Theinhardt Regular" w:eastAsia="Theinhardt Regular"/>
                <w:color w:val="231F20"/>
                <w:sz w:val="14"/>
                <w:szCs w:val="14"/>
              </w:rPr>
              <w:t> </w:t>
            </w:r>
            <w:r>
              <w:rPr>
                <w:rFonts w:ascii="Theinhardt Regular" w:hAnsi="Theinhardt Regular" w:cs="Theinhardt Regular" w:eastAsia="Theinhardt Regular"/>
                <w:color w:val="231F20"/>
                <w:spacing w:val="-1"/>
                <w:sz w:val="14"/>
                <w:szCs w:val="14"/>
              </w:rPr>
              <w:t>m</w:t>
            </w:r>
            <w:r>
              <w:rPr>
                <w:rFonts w:ascii="Theinhardt Regular" w:hAnsi="Theinhardt Regular" w:cs="Theinhardt Regular" w:eastAsia="Theinhardt Regular"/>
                <w:color w:val="231F20"/>
                <w:spacing w:val="-1"/>
                <w:position w:val="5"/>
                <w:sz w:val="8"/>
                <w:szCs w:val="8"/>
              </w:rPr>
              <w:t>2</w:t>
            </w:r>
            <w:r>
              <w:rPr>
                <w:rFonts w:ascii="Theinhardt Regular" w:hAnsi="Theinhardt Regular" w:cs="Theinhardt Regular" w:eastAsia="Theinhardt Regular"/>
                <w:sz w:val="8"/>
                <w:szCs w:val="8"/>
              </w:rPr>
            </w:r>
          </w:p>
        </w:tc>
        <w:tc>
          <w:tcPr>
            <w:tcW w:w="6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4" w:lineRule="exact"/>
              <w:ind w:left="56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kWh/m</w:t>
            </w:r>
            <w:r>
              <w:rPr>
                <w:rFonts w:ascii="Theinhardt Regular"/>
                <w:color w:val="231F20"/>
                <w:position w:val="5"/>
                <w:sz w:val="8"/>
              </w:rPr>
              <w:t>2</w:t>
            </w:r>
            <w:r>
              <w:rPr>
                <w:rFonts w:ascii="Theinhardt Regular"/>
                <w:color w:val="231F20"/>
                <w:sz w:val="14"/>
              </w:rPr>
              <w:t>a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4" w:lineRule="exact"/>
              <w:ind w:left="193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%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4" w:lineRule="exact"/>
              <w:ind w:left="198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kWh/a</w:t>
            </w:r>
            <w:r>
              <w:rPr>
                <w:rFonts w:ascii="Theinhardt Regular"/>
                <w:sz w:val="14"/>
              </w:rPr>
            </w:r>
          </w:p>
        </w:tc>
      </w:tr>
      <w:tr>
        <w:trPr>
          <w:trHeight w:val="152" w:hRule="exact"/>
        </w:trPr>
        <w:tc>
          <w:tcPr>
            <w:tcW w:w="1586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6" w:lineRule="exact"/>
              <w:ind w:left="55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 w:hAnsi="Theinhardt Bold"/>
                <w:b/>
                <w:color w:val="231F20"/>
                <w:sz w:val="14"/>
              </w:rPr>
              <w:t>Total </w:t>
            </w:r>
            <w:r>
              <w:rPr>
                <w:rFonts w:ascii="Theinhardt Bold" w:hAnsi="Theinhardt Bold"/>
                <w:b/>
                <w:color w:val="231F20"/>
                <w:spacing w:val="1"/>
                <w:sz w:val="14"/>
              </w:rPr>
              <w:t>besoins</w:t>
            </w:r>
            <w:r>
              <w:rPr>
                <w:rFonts w:ascii="Theinhardt Bold" w:hAnsi="Theinhardt Bold"/>
                <w:b/>
                <w:color w:val="231F20"/>
                <w:sz w:val="14"/>
              </w:rPr>
              <w:t> </w:t>
            </w:r>
            <w:r>
              <w:rPr>
                <w:rFonts w:ascii="Theinhardt Bold" w:hAnsi="Theinhardt Bold"/>
                <w:b/>
                <w:color w:val="231F20"/>
                <w:spacing w:val="1"/>
                <w:sz w:val="14"/>
              </w:rPr>
              <w:t>énerg.:</w:t>
            </w:r>
            <w:r>
              <w:rPr>
                <w:rFonts w:ascii="Theinhardt Bold" w:hAnsi="Theinhardt Bold"/>
                <w:sz w:val="14"/>
              </w:rPr>
            </w:r>
          </w:p>
        </w:tc>
        <w:tc>
          <w:tcPr>
            <w:tcW w:w="6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6" w:lineRule="exact"/>
              <w:ind w:left="334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3"/>
                <w:sz w:val="14"/>
              </w:rPr>
              <w:t>4</w:t>
            </w:r>
            <w:r>
              <w:rPr>
                <w:rFonts w:ascii="Theinhardt Regular"/>
                <w:color w:val="231F20"/>
                <w:sz w:val="14"/>
              </w:rPr>
              <w:t>4</w:t>
            </w:r>
            <w:r>
              <w:rPr>
                <w:rFonts w:ascii="Theinhardt Regular"/>
                <w:color w:val="231F20"/>
                <w:spacing w:val="1"/>
                <w:sz w:val="14"/>
              </w:rPr>
              <w:t>.</w:t>
            </w:r>
            <w:r>
              <w:rPr>
                <w:rFonts w:ascii="Theinhardt Regular"/>
                <w:color w:val="231F20"/>
                <w:sz w:val="14"/>
              </w:rPr>
              <w:t>2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6" w:lineRule="exact"/>
              <w:ind w:left="74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100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6" w:lineRule="exact"/>
              <w:ind w:left="148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 w:hAnsi="Theinhardt Bold" w:cs="Theinhardt Bold" w:eastAsia="Theinhardt Bold"/>
                <w:b/>
                <w:bCs/>
                <w:color w:val="231F20"/>
                <w:spacing w:val="-1"/>
                <w:sz w:val="14"/>
                <w:szCs w:val="14"/>
              </w:rPr>
              <w:t>75’420</w:t>
            </w:r>
            <w:r>
              <w:rPr>
                <w:rFonts w:ascii="Theinhardt Bold" w:hAnsi="Theinhardt Bold" w:cs="Theinhardt Bold" w:eastAsia="Theinhardt Bold"/>
                <w:sz w:val="14"/>
                <w:szCs w:val="14"/>
              </w:rPr>
            </w:r>
          </w:p>
        </w:tc>
      </w:tr>
      <w:tr>
        <w:trPr>
          <w:trHeight w:val="221" w:hRule="exact"/>
        </w:trPr>
        <w:tc>
          <w:tcPr>
            <w:tcW w:w="3398" w:type="dxa"/>
            <w:gridSpan w:val="6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 w:before="48"/>
              <w:ind w:left="55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 w:hAnsi="Theinhardt Bold"/>
                <w:b/>
                <w:color w:val="231F20"/>
                <w:spacing w:val="1"/>
                <w:sz w:val="14"/>
              </w:rPr>
              <w:t>Alimentation</w:t>
            </w:r>
            <w:r>
              <w:rPr>
                <w:rFonts w:ascii="Theinhardt Bold" w:hAnsi="Theinhardt Bold"/>
                <w:b/>
                <w:color w:val="231F20"/>
                <w:sz w:val="14"/>
              </w:rPr>
              <w:t> </w:t>
            </w:r>
            <w:r>
              <w:rPr>
                <w:rFonts w:ascii="Theinhardt Bold" w:hAnsi="Theinhardt Bold"/>
                <w:b/>
                <w:color w:val="231F20"/>
                <w:spacing w:val="2"/>
                <w:sz w:val="14"/>
              </w:rPr>
              <w:t>énergétique</w:t>
            </w:r>
            <w:r>
              <w:rPr>
                <w:rFonts w:ascii="Theinhardt Bold" w:hAnsi="Theinhardt Bold"/>
                <w:sz w:val="14"/>
              </w:rPr>
            </w:r>
          </w:p>
        </w:tc>
      </w:tr>
      <w:tr>
        <w:trPr>
          <w:trHeight w:val="164" w:hRule="exact"/>
        </w:trPr>
        <w:tc>
          <w:tcPr>
            <w:tcW w:w="7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7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Autoprod.: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3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7" w:lineRule="exact"/>
              <w:ind w:left="148" w:right="0"/>
              <w:jc w:val="left"/>
              <w:rPr>
                <w:rFonts w:ascii="Theinhardt Regular" w:hAnsi="Theinhardt Regular" w:cs="Theinhardt Regular" w:eastAsia="Theinhardt Regular"/>
                <w:sz w:val="8"/>
                <w:szCs w:val="8"/>
              </w:rPr>
            </w:pPr>
            <w:r>
              <w:rPr>
                <w:rFonts w:ascii="Theinhardt Regular"/>
                <w:color w:val="231F20"/>
                <w:spacing w:val="-1"/>
                <w:position w:val="-4"/>
                <w:sz w:val="14"/>
              </w:rPr>
              <w:t>m</w:t>
            </w:r>
            <w:r>
              <w:rPr>
                <w:rFonts w:ascii="Theinhardt Regular"/>
                <w:color w:val="231F20"/>
                <w:spacing w:val="-1"/>
                <w:sz w:val="8"/>
              </w:rPr>
              <w:t>2</w:t>
            </w:r>
            <w:r>
              <w:rPr>
                <w:rFonts w:ascii="Theinhardt Regular"/>
                <w:sz w:val="8"/>
              </w:rPr>
            </w:r>
          </w:p>
        </w:tc>
        <w:tc>
          <w:tcPr>
            <w:tcW w:w="4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7" w:lineRule="exact"/>
              <w:ind w:left="10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kWc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7" w:lineRule="exact"/>
              <w:ind w:left="56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kWh/m</w:t>
            </w:r>
            <w:r>
              <w:rPr>
                <w:rFonts w:ascii="Theinhardt Regular"/>
                <w:color w:val="231F20"/>
                <w:position w:val="5"/>
                <w:sz w:val="8"/>
              </w:rPr>
              <w:t>2</w:t>
            </w:r>
            <w:r>
              <w:rPr>
                <w:rFonts w:ascii="Theinhardt Regular"/>
                <w:color w:val="231F20"/>
                <w:sz w:val="14"/>
              </w:rPr>
              <w:t>a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7" w:lineRule="exact"/>
              <w:ind w:left="193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%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7" w:lineRule="exact"/>
              <w:ind w:left="197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kWh/a</w:t>
            </w:r>
            <w:r>
              <w:rPr>
                <w:rFonts w:ascii="Theinhardt Regular"/>
                <w:sz w:val="14"/>
              </w:rPr>
            </w:r>
          </w:p>
        </w:tc>
      </w:tr>
      <w:tr>
        <w:trPr>
          <w:trHeight w:val="161" w:hRule="exact"/>
        </w:trPr>
        <w:tc>
          <w:tcPr>
            <w:tcW w:w="7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PV-Toit: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3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64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272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88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3"/>
                <w:sz w:val="14"/>
              </w:rPr>
              <w:t>27.3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276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5"/>
                <w:sz w:val="14"/>
              </w:rPr>
              <w:t>119.6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159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2"/>
                <w:sz w:val="14"/>
              </w:rPr>
              <w:t>61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136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 w:hAnsi="Theinhardt Bold" w:cs="Theinhardt Bold" w:eastAsia="Theinhardt Bold"/>
                <w:b/>
                <w:bCs/>
                <w:color w:val="231F20"/>
                <w:spacing w:val="1"/>
                <w:sz w:val="14"/>
                <w:szCs w:val="14"/>
              </w:rPr>
              <w:t>32’530</w:t>
            </w:r>
            <w:r>
              <w:rPr>
                <w:rFonts w:ascii="Theinhardt Bold" w:hAnsi="Theinhardt Bold" w:cs="Theinhardt Bold" w:eastAsia="Theinhardt Bold"/>
                <w:sz w:val="14"/>
                <w:szCs w:val="14"/>
              </w:rPr>
            </w:r>
          </w:p>
        </w:tc>
      </w:tr>
      <w:tr>
        <w:trPr>
          <w:trHeight w:val="143" w:hRule="exact"/>
        </w:trPr>
        <w:tc>
          <w:tcPr>
            <w:tcW w:w="7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7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CS: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3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7" w:lineRule="exact"/>
              <w:ind w:left="14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70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7" w:lineRule="exact"/>
              <w:ind w:left="368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2"/>
                <w:sz w:val="14"/>
              </w:rPr>
              <w:t>5</w:t>
            </w:r>
            <w:r>
              <w:rPr>
                <w:rFonts w:ascii="Theinhardt Regular"/>
                <w:color w:val="231F20"/>
                <w:spacing w:val="4"/>
                <w:sz w:val="14"/>
              </w:rPr>
              <w:t>0</w:t>
            </w:r>
            <w:r>
              <w:rPr>
                <w:rFonts w:ascii="Theinhardt Regular"/>
                <w:color w:val="231F20"/>
                <w:sz w:val="14"/>
              </w:rPr>
              <w:t>0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7" w:lineRule="exact"/>
              <w:ind w:left="156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39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7" w:lineRule="exact"/>
              <w:ind w:left="149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pacing w:val="-1"/>
                <w:sz w:val="14"/>
                <w:szCs w:val="14"/>
              </w:rPr>
              <w:t>21’000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</w:tc>
      </w:tr>
    </w:tbl>
    <w:p>
      <w:pPr>
        <w:tabs>
          <w:tab w:pos="2409" w:val="left" w:leader="none"/>
          <w:tab w:pos="2931" w:val="left" w:leader="none"/>
        </w:tabs>
        <w:spacing w:line="281" w:lineRule="auto" w:before="0"/>
        <w:ind w:left="107" w:right="165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Alimentation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énergétique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w w:val="95"/>
          <w:sz w:val="14"/>
          <w:szCs w:val="14"/>
        </w:rPr>
        <w:t>100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53’530</w:t>
      </w:r>
      <w:r>
        <w:rPr>
          <w:rFonts w:ascii="Theinhardt Bold" w:hAnsi="Theinhardt Bold" w:cs="Theinhardt Bold" w:eastAsia="Theinhardt Bold"/>
          <w:b/>
          <w:bCs/>
          <w:color w:val="231F20"/>
          <w:spacing w:val="5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Bilan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énergétique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(énergie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finale)</w:t>
        <w:tab/>
        <w:t>%</w:t>
        <w:tab/>
        <w:t>kWh/a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493" w:val="left" w:leader="none"/>
        </w:tabs>
        <w:spacing w:line="116" w:lineRule="exact" w:before="0"/>
        <w:ind w:left="107" w:right="0" w:firstLine="0"/>
        <w:jc w:val="both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Alimentation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énergétique: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71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     </w:t>
      </w:r>
      <w:r>
        <w:rPr>
          <w:rFonts w:ascii="Theinhardt Bold" w:hAnsi="Theinhardt Bold" w:cs="Theinhardt Bold" w:eastAsia="Theinhardt Bold"/>
          <w:b/>
          <w:bCs/>
          <w:color w:val="231F20"/>
          <w:spacing w:val="28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53’530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2410" w:val="left" w:leader="none"/>
        </w:tabs>
        <w:spacing w:line="160" w:lineRule="exact" w:before="0"/>
        <w:ind w:left="107" w:right="0" w:firstLine="0"/>
        <w:jc w:val="both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Total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besoins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énerg.: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100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    </w:t>
      </w:r>
      <w:r>
        <w:rPr>
          <w:rFonts w:ascii="Theinhardt Regular" w:hAnsi="Theinhardt Regular" w:cs="Theinhardt Regular" w:eastAsia="Theinhardt Regular"/>
          <w:color w:val="231F20"/>
          <w:spacing w:val="19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75’420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2490" w:val="left" w:leader="none"/>
        </w:tabs>
        <w:spacing w:line="172" w:lineRule="exact" w:before="0"/>
        <w:ind w:left="106" w:right="0" w:firstLine="0"/>
        <w:jc w:val="both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Apport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d’énergie:        </w:t>
      </w:r>
      <w:r>
        <w:rPr>
          <w:rFonts w:ascii="Theinhardt Regular" w:hAnsi="Theinhardt Regular" w:cs="Theinhardt Regular" w:eastAsia="Theinhardt Regular"/>
          <w:color w:val="231F20"/>
          <w:spacing w:val="19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: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29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     </w:t>
      </w:r>
      <w:r>
        <w:rPr>
          <w:rFonts w:ascii="Theinhardt Bold" w:hAnsi="Theinhardt Bold" w:cs="Theinhardt Bold" w:eastAsia="Theinhardt Bold"/>
          <w:b/>
          <w:bCs/>
          <w:color w:val="231F20"/>
          <w:spacing w:val="34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21’890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160" w:lineRule="exact" w:before="39"/>
        <w:ind w:left="106" w:right="248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Confirmé</w:t>
      </w:r>
      <w:r>
        <w:rPr>
          <w:rFonts w:ascii="Theinhardt Bold" w:hAnsi="Theinhardt Bold"/>
          <w:b/>
          <w:color w:val="231F20"/>
          <w:spacing w:val="-1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par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2"/>
          <w:sz w:val="14"/>
        </w:rPr>
        <w:t>OIKEN</w:t>
      </w:r>
      <w:r>
        <w:rPr>
          <w:rFonts w:ascii="Theinhardt Bold" w:hAnsi="Theinhardt Bold"/>
          <w:b/>
          <w:color w:val="231F20"/>
          <w:spacing w:val="-1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à </w:t>
      </w:r>
      <w:r>
        <w:rPr>
          <w:rFonts w:ascii="Theinhardt Bold" w:hAnsi="Theinhardt Bold"/>
          <w:b/>
          <w:color w:val="231F20"/>
          <w:spacing w:val="1"/>
          <w:sz w:val="14"/>
        </w:rPr>
        <w:t>Sion</w:t>
      </w:r>
      <w:r>
        <w:rPr>
          <w:rFonts w:ascii="Theinhardt Bold" w:hAnsi="Theinhardt Bold"/>
          <w:b/>
          <w:color w:val="231F20"/>
          <w:spacing w:val="-1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le</w:t>
      </w:r>
      <w:r>
        <w:rPr>
          <w:rFonts w:ascii="Theinhardt Regular" w:hAnsi="Theinhardt Regular"/>
          <w:color w:val="231F20"/>
          <w:sz w:val="14"/>
        </w:rPr>
        <w:t> 29</w:t>
      </w:r>
      <w:r>
        <w:rPr>
          <w:rFonts w:ascii="Theinhardt Regular" w:hAnsi="Theinhardt Regular"/>
          <w:color w:val="231F20"/>
          <w:spacing w:val="-1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juillet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2"/>
          <w:sz w:val="14"/>
        </w:rPr>
        <w:t>2021,</w:t>
      </w:r>
      <w:r>
        <w:rPr>
          <w:rFonts w:ascii="Theinhardt Regular" w:hAnsi="Theinhardt Regular"/>
          <w:color w:val="231F20"/>
          <w:spacing w:val="24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Xavier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Bornet,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2"/>
          <w:sz w:val="14"/>
        </w:rPr>
        <w:t>Tél.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4"/>
          <w:sz w:val="14"/>
        </w:rPr>
        <w:t>+41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27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5"/>
          <w:sz w:val="14"/>
        </w:rPr>
        <w:t>617</w:t>
      </w:r>
      <w:r>
        <w:rPr>
          <w:rFonts w:ascii="Theinhardt Regular" w:hAnsi="Theinhardt Regular"/>
          <w:color w:val="231F20"/>
          <w:sz w:val="14"/>
        </w:rPr>
        <w:t> 30 </w:t>
      </w:r>
      <w:r>
        <w:rPr>
          <w:rFonts w:ascii="Theinhardt Regular" w:hAnsi="Theinhardt Regular"/>
          <w:color w:val="231F20"/>
          <w:spacing w:val="-4"/>
          <w:sz w:val="14"/>
        </w:rPr>
        <w:t>12</w:t>
      </w:r>
      <w:r>
        <w:rPr>
          <w:rFonts w:ascii="Theinhardt Regular" w:hAnsi="Theinhardt Regular"/>
          <w:sz w:val="14"/>
        </w:rPr>
      </w:r>
    </w:p>
    <w:p>
      <w:pPr>
        <w:spacing w:line="160" w:lineRule="exact" w:before="113"/>
        <w:ind w:left="106" w:right="259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2"/>
          <w:sz w:val="14"/>
        </w:rPr>
        <w:t>La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meilleure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isolation</w:t>
      </w:r>
      <w:r>
        <w:rPr>
          <w:rFonts w:ascii="Theinhardt Bold" w:hAnsi="Theinhardt Bold"/>
          <w:b/>
          <w:color w:val="231F20"/>
          <w:spacing w:val="2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des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bâtiments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contre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le</w:t>
      </w:r>
      <w:r>
        <w:rPr>
          <w:rFonts w:ascii="Theinhardt Regular" w:hAnsi="Theinhardt Regular"/>
          <w:color w:val="231F20"/>
          <w:spacing w:val="28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réchauffement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climatique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2021</w:t>
      </w:r>
      <w:r>
        <w:rPr>
          <w:rFonts w:ascii="Theinhardt Regular" w:hAnsi="Theinhardt Regular"/>
          <w:sz w:val="14"/>
        </w:rPr>
      </w:r>
    </w:p>
    <w:p>
      <w:pPr>
        <w:spacing w:before="105"/>
        <w:ind w:left="106" w:right="0" w:firstLine="0"/>
        <w:jc w:val="both"/>
        <w:rPr>
          <w:rFonts w:ascii="Theinhardt Black" w:hAnsi="Theinhardt Black" w:cs="Theinhardt Black" w:eastAsia="Theinhardt Black"/>
          <w:sz w:val="14"/>
          <w:szCs w:val="14"/>
        </w:rPr>
      </w:pPr>
      <w:r>
        <w:rPr>
          <w:rFonts w:ascii="Theinhardt Black" w:hAnsi="Theinhardt Black"/>
          <w:b/>
          <w:color w:val="231F20"/>
          <w:spacing w:val="1"/>
          <w:sz w:val="14"/>
        </w:rPr>
        <w:t>Personnes</w:t>
      </w:r>
      <w:r>
        <w:rPr>
          <w:rFonts w:ascii="Theinhardt Black" w:hAnsi="Theinhardt Black"/>
          <w:b/>
          <w:color w:val="231F20"/>
          <w:sz w:val="14"/>
        </w:rPr>
        <w:t> impliquées</w:t>
      </w:r>
      <w:r>
        <w:rPr>
          <w:rFonts w:ascii="Theinhardt Black" w:hAnsi="Theinhardt Black"/>
          <w:sz w:val="14"/>
        </w:rPr>
      </w:r>
    </w:p>
    <w:p>
      <w:pPr>
        <w:spacing w:line="240" w:lineRule="auto" w:before="9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07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spacing w:line="172" w:lineRule="exact" w:before="20"/>
        <w:ind w:left="106" w:right="0" w:firstLine="0"/>
        <w:jc w:val="both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Adresse</w:t>
      </w:r>
      <w:r>
        <w:rPr>
          <w:rFonts w:ascii="Theinhardt Bold" w:hAnsi="Theinhardt Bold"/>
          <w:b/>
          <w:color w:val="231F20"/>
          <w:sz w:val="14"/>
        </w:rPr>
        <w:t> du </w:t>
      </w:r>
      <w:r>
        <w:rPr>
          <w:rFonts w:ascii="Theinhardt Bold" w:hAnsi="Theinhardt Bold"/>
          <w:b/>
          <w:color w:val="231F20"/>
          <w:spacing w:val="1"/>
          <w:sz w:val="14"/>
        </w:rPr>
        <w:t>bâtiment</w:t>
      </w:r>
      <w:r>
        <w:rPr>
          <w:rFonts w:ascii="Theinhardt Bold" w:hAnsi="Theinhardt Bold"/>
          <w:sz w:val="14"/>
        </w:rPr>
      </w:r>
    </w:p>
    <w:p>
      <w:pPr>
        <w:spacing w:line="172" w:lineRule="exact" w:before="0"/>
        <w:ind w:left="106" w:right="0" w:firstLine="0"/>
        <w:jc w:val="both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Chemin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des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Amandiers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1,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1950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Sion</w:t>
      </w:r>
      <w:r>
        <w:rPr>
          <w:rFonts w:ascii="Theinhardt Regular"/>
          <w:sz w:val="14"/>
        </w:rPr>
      </w:r>
    </w:p>
    <w:p>
      <w:pPr>
        <w:spacing w:line="172" w:lineRule="exact" w:before="32"/>
        <w:ind w:left="106" w:right="0" w:firstLine="0"/>
        <w:jc w:val="both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4"/>
          <w:szCs w:val="14"/>
        </w:rPr>
        <w:t>Maître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d’ouvrage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160" w:lineRule="exact" w:before="0"/>
        <w:ind w:left="106" w:right="0" w:firstLine="0"/>
        <w:jc w:val="both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2"/>
          <w:sz w:val="14"/>
        </w:rPr>
        <w:t>Sakura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immo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Sàrl</w:t>
      </w:r>
      <w:r>
        <w:rPr>
          <w:rFonts w:ascii="Theinhardt Regular" w:hAnsi="Theinhardt Regular"/>
          <w:sz w:val="14"/>
        </w:rPr>
      </w:r>
    </w:p>
    <w:p>
      <w:pPr>
        <w:spacing w:line="172" w:lineRule="exact" w:before="0"/>
        <w:ind w:left="106" w:right="0" w:firstLine="0"/>
        <w:jc w:val="both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1"/>
          <w:sz w:val="14"/>
        </w:rPr>
        <w:t>Rue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de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Loèche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48,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1950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Sion</w:t>
      </w:r>
      <w:hyperlink r:id="rId5">
        <w:r>
          <w:rPr>
            <w:rFonts w:ascii="Theinhardt Regular" w:hAnsi="Theinhardt Regular"/>
            <w:color w:val="231F20"/>
            <w:spacing w:val="1"/>
            <w:sz w:val="14"/>
          </w:rPr>
          <w:t>,</w:t>
        </w:r>
        <w:r>
          <w:rPr>
            <w:rFonts w:ascii="Theinhardt Regular" w:hAnsi="Theinhardt Regular"/>
            <w:color w:val="231F20"/>
            <w:sz w:val="14"/>
          </w:rPr>
          <w:t> </w:t>
        </w:r>
        <w:r>
          <w:rPr>
            <w:rFonts w:ascii="Theinhardt Regular" w:hAnsi="Theinhardt Regular"/>
            <w:color w:val="231F20"/>
            <w:spacing w:val="1"/>
            <w:sz w:val="14"/>
          </w:rPr>
          <w:t>info@sakura.immo</w:t>
        </w:r>
        <w:r>
          <w:rPr>
            <w:rFonts w:ascii="Theinhardt Regular" w:hAnsi="Theinhardt Regular"/>
            <w:sz w:val="14"/>
          </w:rPr>
        </w:r>
      </w:hyperlink>
    </w:p>
    <w:p>
      <w:pPr>
        <w:spacing w:line="172" w:lineRule="exact" w:before="32"/>
        <w:ind w:left="106" w:right="0" w:firstLine="0"/>
        <w:jc w:val="both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Architecte</w:t>
      </w:r>
      <w:r>
        <w:rPr>
          <w:rFonts w:ascii="Theinhardt Bold"/>
          <w:sz w:val="14"/>
        </w:rPr>
      </w:r>
    </w:p>
    <w:p>
      <w:pPr>
        <w:spacing w:line="160" w:lineRule="exact" w:before="0"/>
        <w:ind w:left="106" w:right="0" w:firstLine="0"/>
        <w:jc w:val="both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1"/>
          <w:sz w:val="14"/>
        </w:rPr>
        <w:t>Kämpfen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Zinke</w:t>
      </w:r>
      <w:r>
        <w:rPr>
          <w:rFonts w:ascii="Theinhardt Regular" w:hAnsi="Theinhardt Regular"/>
          <w:color w:val="231F20"/>
          <w:sz w:val="14"/>
        </w:rPr>
        <w:t> + </w:t>
      </w:r>
      <w:r>
        <w:rPr>
          <w:rFonts w:ascii="Theinhardt Regular" w:hAnsi="Theinhardt Regular"/>
          <w:color w:val="231F20"/>
          <w:spacing w:val="2"/>
          <w:sz w:val="14"/>
        </w:rPr>
        <w:t>Partner</w:t>
      </w:r>
      <w:r>
        <w:rPr>
          <w:rFonts w:ascii="Theinhardt Regular" w:hAnsi="Theinhardt Regular"/>
          <w:color w:val="231F20"/>
          <w:sz w:val="14"/>
        </w:rPr>
        <w:t> AG</w:t>
      </w:r>
      <w:r>
        <w:rPr>
          <w:rFonts w:ascii="Theinhardt Regular" w:hAnsi="Theinhardt Regular"/>
          <w:sz w:val="14"/>
        </w:rPr>
      </w:r>
    </w:p>
    <w:p>
      <w:pPr>
        <w:spacing w:line="160" w:lineRule="exact" w:before="0"/>
        <w:ind w:left="106" w:right="0" w:firstLine="0"/>
        <w:jc w:val="both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2"/>
          <w:sz w:val="14"/>
        </w:rPr>
        <w:t>Beat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Kämpfen,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Badenerstrasse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4"/>
          <w:sz w:val="14"/>
        </w:rPr>
        <w:t>571,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8048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Zürich</w:t>
      </w:r>
      <w:r>
        <w:rPr>
          <w:rFonts w:ascii="Theinhardt Regular" w:hAnsi="Theinhardt Regular"/>
          <w:sz w:val="14"/>
        </w:rPr>
      </w:r>
    </w:p>
    <w:p>
      <w:pPr>
        <w:spacing w:line="172" w:lineRule="exact" w:before="0"/>
        <w:ind w:left="106" w:right="0" w:firstLine="0"/>
        <w:jc w:val="both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-2"/>
          <w:sz w:val="14"/>
        </w:rPr>
        <w:t>Tél.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4"/>
          <w:sz w:val="14"/>
        </w:rPr>
        <w:t>+41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44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344</w:t>
      </w:r>
      <w:r>
        <w:rPr>
          <w:rFonts w:ascii="Theinhardt Regular" w:hAnsi="Theinhardt Regular"/>
          <w:color w:val="231F20"/>
          <w:sz w:val="14"/>
        </w:rPr>
        <w:t> 46 20</w:t>
      </w:r>
      <w:hyperlink r:id="rId6">
        <w:r>
          <w:rPr>
            <w:rFonts w:ascii="Theinhardt Regular" w:hAnsi="Theinhardt Regular"/>
            <w:color w:val="231F20"/>
            <w:sz w:val="14"/>
          </w:rPr>
          <w:t>, </w:t>
        </w:r>
        <w:r>
          <w:rPr>
            <w:rFonts w:ascii="Theinhardt Regular" w:hAnsi="Theinhardt Regular"/>
            <w:color w:val="231F20"/>
            <w:spacing w:val="1"/>
            <w:sz w:val="14"/>
          </w:rPr>
          <w:t>beat@kaempfen.com</w:t>
        </w:r>
        <w:r>
          <w:rPr>
            <w:rFonts w:ascii="Theinhardt Regular" w:hAnsi="Theinhardt Regular"/>
            <w:sz w:val="14"/>
          </w:rPr>
        </w:r>
      </w:hyperlink>
    </w:p>
    <w:p>
      <w:pPr>
        <w:spacing w:line="172" w:lineRule="exact" w:before="32"/>
        <w:ind w:left="106" w:right="0" w:firstLine="0"/>
        <w:jc w:val="both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Direction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des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travaux</w:t>
      </w:r>
      <w:r>
        <w:rPr>
          <w:rFonts w:ascii="Theinhardt Bold"/>
          <w:sz w:val="14"/>
        </w:rPr>
      </w:r>
    </w:p>
    <w:p>
      <w:pPr>
        <w:spacing w:line="160" w:lineRule="exact" w:before="0"/>
        <w:ind w:left="106" w:right="0" w:firstLine="0"/>
        <w:jc w:val="both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1"/>
          <w:sz w:val="14"/>
        </w:rPr>
        <w:t>atLB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Sàrl,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atelier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Léonard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Bender</w:t>
      </w:r>
      <w:r>
        <w:rPr>
          <w:rFonts w:ascii="Theinhardt Regular" w:hAnsi="Theinhardt Regular"/>
          <w:sz w:val="14"/>
        </w:rPr>
      </w:r>
    </w:p>
    <w:p>
      <w:pPr>
        <w:spacing w:line="172" w:lineRule="exact" w:before="0"/>
        <w:ind w:left="106" w:right="0" w:firstLine="0"/>
        <w:jc w:val="both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Rue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de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la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Poste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3"/>
          <w:sz w:val="14"/>
        </w:rPr>
        <w:t>12,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1920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Martigny,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Case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Postale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3"/>
          <w:sz w:val="14"/>
        </w:rPr>
        <w:t>146</w:t>
      </w:r>
      <w:r>
        <w:rPr>
          <w:rFonts w:ascii="Theinhardt Regular"/>
          <w:sz w:val="14"/>
        </w:rPr>
      </w:r>
    </w:p>
    <w:p>
      <w:pPr>
        <w:spacing w:line="172" w:lineRule="exact" w:before="32"/>
        <w:ind w:left="106" w:right="0" w:firstLine="0"/>
        <w:jc w:val="both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2"/>
          <w:sz w:val="14"/>
        </w:rPr>
        <w:t>Concept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énergie</w:t>
      </w:r>
      <w:r>
        <w:rPr>
          <w:rFonts w:ascii="Theinhardt Bold" w:hAnsi="Theinhardt Bold"/>
          <w:b/>
          <w:color w:val="231F20"/>
          <w:sz w:val="14"/>
        </w:rPr>
        <w:t> + </w:t>
      </w:r>
      <w:r>
        <w:rPr>
          <w:rFonts w:ascii="Theinhardt Bold" w:hAnsi="Theinhardt Bold"/>
          <w:b/>
          <w:color w:val="231F20"/>
          <w:spacing w:val="2"/>
          <w:sz w:val="14"/>
        </w:rPr>
        <w:t>chauffage</w:t>
      </w:r>
      <w:r>
        <w:rPr>
          <w:rFonts w:ascii="Theinhardt Bold" w:hAnsi="Theinhardt Bold"/>
          <w:sz w:val="14"/>
        </w:rPr>
      </w:r>
    </w:p>
    <w:p>
      <w:pPr>
        <w:spacing w:line="172" w:lineRule="exact" w:before="0"/>
        <w:ind w:left="106" w:right="0" w:firstLine="0"/>
        <w:jc w:val="both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1"/>
          <w:sz w:val="14"/>
        </w:rPr>
        <w:t>Naef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Energietechnik,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Jupiterstrasse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26,</w:t>
      </w:r>
      <w:r>
        <w:rPr>
          <w:rFonts w:ascii="Theinhardt Regular" w:hAnsi="Theinhardt Regular"/>
          <w:color w:val="231F20"/>
          <w:sz w:val="14"/>
        </w:rPr>
        <w:t> 8032 </w:t>
      </w:r>
      <w:r>
        <w:rPr>
          <w:rFonts w:ascii="Theinhardt Regular" w:hAnsi="Theinhardt Regular"/>
          <w:color w:val="231F20"/>
          <w:spacing w:val="1"/>
          <w:sz w:val="14"/>
        </w:rPr>
        <w:t>Zürich</w:t>
      </w:r>
      <w:r>
        <w:rPr>
          <w:rFonts w:ascii="Theinhardt Regular" w:hAnsi="Theinhardt Regular"/>
          <w:sz w:val="14"/>
        </w:rPr>
      </w:r>
    </w:p>
    <w:p>
      <w:pPr>
        <w:spacing w:line="172" w:lineRule="exact" w:before="32"/>
        <w:ind w:left="106" w:right="0" w:firstLine="0"/>
        <w:jc w:val="both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Planification</w:t>
      </w:r>
      <w:r>
        <w:rPr>
          <w:rFonts w:ascii="Theinhardt Bold"/>
          <w:b/>
          <w:color w:val="231F20"/>
          <w:spacing w:val="-4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sanitaire</w:t>
      </w:r>
      <w:r>
        <w:rPr>
          <w:rFonts w:ascii="Theinhardt Bold"/>
          <w:sz w:val="14"/>
        </w:rPr>
      </w:r>
    </w:p>
    <w:p>
      <w:pPr>
        <w:spacing w:line="207" w:lineRule="auto" w:before="6"/>
        <w:ind w:left="106" w:right="71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Gerber</w:t>
      </w:r>
      <w:r>
        <w:rPr>
          <w:rFonts w:ascii="Theinhardt Regular"/>
          <w:color w:val="231F20"/>
          <w:sz w:val="14"/>
        </w:rPr>
        <w:t> + </w:t>
      </w:r>
      <w:r>
        <w:rPr>
          <w:rFonts w:ascii="Theinhardt Regular"/>
          <w:color w:val="231F20"/>
          <w:spacing w:val="2"/>
          <w:sz w:val="14"/>
        </w:rPr>
        <w:t>Partner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Haustechnik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GmbH</w:t>
      </w:r>
      <w:r>
        <w:rPr>
          <w:rFonts w:ascii="Theinhardt Regular"/>
          <w:color w:val="231F20"/>
          <w:spacing w:val="36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Pfarrain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4a,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8604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Volketswil</w:t>
      </w:r>
      <w:r>
        <w:rPr>
          <w:rFonts w:ascii="Theinhardt Regular"/>
          <w:sz w:val="14"/>
        </w:rPr>
      </w:r>
    </w:p>
    <w:p>
      <w:pPr>
        <w:spacing w:line="172" w:lineRule="exact" w:before="38"/>
        <w:ind w:left="106" w:right="0" w:firstLine="0"/>
        <w:jc w:val="both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Ingénierie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en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2"/>
          <w:sz w:val="14"/>
        </w:rPr>
        <w:t>construction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bois</w:t>
      </w:r>
      <w:r>
        <w:rPr>
          <w:rFonts w:ascii="Theinhardt Bold" w:hAnsi="Theinhardt Bold"/>
          <w:sz w:val="14"/>
        </w:rPr>
      </w:r>
    </w:p>
    <w:p>
      <w:pPr>
        <w:spacing w:line="172" w:lineRule="exact" w:before="0"/>
        <w:ind w:left="106" w:right="0" w:firstLine="0"/>
        <w:jc w:val="both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1"/>
          <w:sz w:val="14"/>
        </w:rPr>
        <w:t>timbatec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gmbh,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Weinbergstrasse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6"/>
          <w:sz w:val="14"/>
        </w:rPr>
        <w:t>41,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8006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Zürich</w:t>
      </w:r>
      <w:r>
        <w:rPr>
          <w:rFonts w:ascii="Theinhardt Regular" w:hAnsi="Theinhardt Regular"/>
          <w:sz w:val="14"/>
        </w:rPr>
      </w:r>
    </w:p>
    <w:p>
      <w:pPr>
        <w:spacing w:line="172" w:lineRule="exact" w:before="32"/>
        <w:ind w:left="106" w:right="0" w:firstLine="0"/>
        <w:jc w:val="both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Fournisseur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des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capteurs</w:t>
      </w:r>
      <w:r>
        <w:rPr>
          <w:rFonts w:ascii="Theinhardt Bold"/>
          <w:sz w:val="14"/>
        </w:rPr>
      </w:r>
    </w:p>
    <w:p>
      <w:pPr>
        <w:spacing w:line="207" w:lineRule="auto" w:before="6"/>
        <w:ind w:left="106" w:right="259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Energie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SA,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Rue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des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Sablons</w:t>
      </w:r>
      <w:r>
        <w:rPr>
          <w:rFonts w:ascii="Theinhardt Regular"/>
          <w:color w:val="231F20"/>
          <w:sz w:val="14"/>
        </w:rPr>
        <w:t> 8, 3960 </w:t>
      </w:r>
      <w:r>
        <w:rPr>
          <w:rFonts w:ascii="Theinhardt Regular"/>
          <w:color w:val="231F20"/>
          <w:spacing w:val="1"/>
          <w:sz w:val="14"/>
        </w:rPr>
        <w:t>Sierre</w:t>
      </w:r>
      <w:hyperlink r:id="rId7">
        <w:r>
          <w:rPr>
            <w:rFonts w:ascii="Theinhardt Regular"/>
            <w:color w:val="231F20"/>
            <w:spacing w:val="46"/>
            <w:sz w:val="14"/>
          </w:rPr>
          <w:t> </w:t>
        </w:r>
        <w:r>
          <w:rPr>
            <w:rFonts w:ascii="Theinhardt Regular"/>
            <w:color w:val="231F20"/>
            <w:spacing w:val="2"/>
            <w:sz w:val="14"/>
          </w:rPr>
          <w:t>www.energie-solaire.com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8"/>
        <w:ind w:left="106" w:right="0" w:firstLine="0"/>
        <w:jc w:val="both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Entreprise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PV</w:t>
      </w:r>
      <w:r>
        <w:rPr>
          <w:rFonts w:ascii="Theinhardt Bold"/>
          <w:sz w:val="14"/>
        </w:rPr>
      </w:r>
    </w:p>
    <w:p>
      <w:pPr>
        <w:spacing w:line="207" w:lineRule="auto" w:before="6"/>
        <w:ind w:left="106" w:right="906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2"/>
          <w:sz w:val="14"/>
        </w:rPr>
        <w:t>i-watt,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Rue</w:t>
      </w:r>
      <w:r>
        <w:rPr>
          <w:rFonts w:ascii="Theinhardt Regular"/>
          <w:color w:val="231F20"/>
          <w:sz w:val="14"/>
        </w:rPr>
        <w:t> du </w:t>
      </w:r>
      <w:r>
        <w:rPr>
          <w:rFonts w:ascii="Theinhardt Regular"/>
          <w:color w:val="231F20"/>
          <w:spacing w:val="1"/>
          <w:sz w:val="14"/>
        </w:rPr>
        <w:t>Levant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5"/>
          <w:sz w:val="14"/>
        </w:rPr>
        <w:t>167,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1920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Martigny</w:t>
      </w:r>
      <w:hyperlink r:id="rId8">
        <w:r>
          <w:rPr>
            <w:rFonts w:ascii="Theinhardt Regular"/>
            <w:color w:val="231F20"/>
            <w:spacing w:val="26"/>
            <w:sz w:val="14"/>
          </w:rPr>
          <w:t> </w:t>
        </w:r>
        <w:r>
          <w:rPr>
            <w:rFonts w:ascii="Theinhardt Regular"/>
            <w:color w:val="231F20"/>
            <w:spacing w:val="2"/>
            <w:sz w:val="14"/>
          </w:rPr>
          <w:t>www.i-watt.ch</w:t>
        </w:r>
        <w:r>
          <w:rPr>
            <w:rFonts w:ascii="Theinhardt Regular"/>
            <w:sz w:val="14"/>
          </w:rPr>
        </w:r>
      </w:hyperlink>
    </w:p>
    <w:p>
      <w:pPr>
        <w:spacing w:after="0" w:line="207" w:lineRule="auto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60" w:right="740"/>
          <w:cols w:num="3" w:equalWidth="0">
            <w:col w:w="3463" w:space="109"/>
            <w:col w:w="3459" w:space="112"/>
            <w:col w:w="3567"/>
          </w:cols>
        </w:sectPr>
      </w:pPr>
    </w:p>
    <w:p>
      <w:pPr>
        <w:spacing w:line="240" w:lineRule="auto" w:before="2"/>
        <w:rPr>
          <w:rFonts w:ascii="Theinhardt Regular" w:hAnsi="Theinhardt Regular" w:cs="Theinhardt Regular" w:eastAsia="Theinhardt Regular"/>
          <w:sz w:val="3"/>
          <w:szCs w:val="3"/>
        </w:rPr>
      </w:pPr>
    </w:p>
    <w:p>
      <w:pPr>
        <w:spacing w:line="20" w:lineRule="atLeast"/>
        <w:ind w:left="7250" w:right="0" w:firstLine="0"/>
        <w:rPr>
          <w:rFonts w:ascii="Theinhardt Regular" w:hAnsi="Theinhardt Regular" w:cs="Theinhardt Regular" w:eastAsia="Theinhardt Regular"/>
          <w:sz w:val="2"/>
          <w:szCs w:val="2"/>
        </w:rPr>
      </w:pPr>
      <w:r>
        <w:rPr>
          <w:rFonts w:ascii="Theinhardt Regular" w:hAnsi="Theinhardt Regular" w:cs="Theinhardt Regular" w:eastAsia="Theinhardt Regular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Regular" w:hAnsi="Theinhardt Regular" w:cs="Theinhardt Regular" w:eastAsia="Theinhardt Regular"/>
          <w:sz w:val="2"/>
          <w:szCs w:val="2"/>
        </w:rPr>
      </w: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6"/>
          <w:szCs w:val="26"/>
        </w:rPr>
      </w:pPr>
    </w:p>
    <w:p>
      <w:pPr>
        <w:spacing w:before="7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Heavy"/>
          <w:b/>
          <w:color w:val="231F20"/>
          <w:sz w:val="14"/>
        </w:rPr>
        <w:t>58    </w:t>
      </w:r>
      <w:r>
        <w:rPr>
          <w:rFonts w:ascii="Theinhardt Heavy"/>
          <w:b/>
          <w:color w:val="231F20"/>
          <w:spacing w:val="7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2021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2021</w:t>
      </w:r>
      <w:r>
        <w:rPr>
          <w:rFonts w:ascii="Theinhardt Regular"/>
          <w:sz w:val="14"/>
        </w:rPr>
      </w:r>
    </w:p>
    <w:p>
      <w:pPr>
        <w:spacing w:after="0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60" w:right="740"/>
        </w:sectPr>
      </w:pPr>
    </w:p>
    <w:p>
      <w:pPr>
        <w:spacing w:line="240" w:lineRule="auto" w:before="6"/>
        <w:rPr>
          <w:rFonts w:ascii="Theinhardt Regular" w:hAnsi="Theinhardt Regular" w:cs="Theinhardt Regular" w:eastAsia="Theinhardt Regular"/>
          <w:sz w:val="5"/>
          <w:szCs w:val="5"/>
        </w:rPr>
      </w:pPr>
    </w:p>
    <w:p>
      <w:pPr>
        <w:spacing w:line="200" w:lineRule="atLeast"/>
        <w:ind w:left="110" w:right="0" w:firstLine="0"/>
        <w:rPr>
          <w:rFonts w:ascii="Theinhardt Regular" w:hAnsi="Theinhardt Regular" w:cs="Theinhardt Regular" w:eastAsia="Theinhardt Regular"/>
          <w:sz w:val="20"/>
          <w:szCs w:val="20"/>
        </w:rPr>
      </w:pPr>
      <w:r>
        <w:rPr>
          <w:rFonts w:ascii="Theinhardt Regular" w:hAnsi="Theinhardt Regular" w:cs="Theinhardt Regular" w:eastAsia="Theinhardt Regular"/>
          <w:sz w:val="20"/>
          <w:szCs w:val="20"/>
        </w:rPr>
        <w:drawing>
          <wp:inline distT="0" distB="0" distL="0" distR="0">
            <wp:extent cx="6611297" cy="4672584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1297" cy="4672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Regular" w:hAnsi="Theinhardt Regular" w:cs="Theinhardt Regular" w:eastAsia="Theinhardt Regular"/>
          <w:sz w:val="20"/>
          <w:szCs w:val="20"/>
        </w:rPr>
      </w:r>
    </w:p>
    <w:p>
      <w:pPr>
        <w:spacing w:before="70"/>
        <w:ind w:left="114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1</w:t>
      </w:r>
      <w:r>
        <w:rPr>
          <w:rFonts w:ascii="Theinhardt Bold"/>
          <w:sz w:val="14"/>
        </w:rPr>
      </w:r>
    </w:p>
    <w:p>
      <w:pPr>
        <w:tabs>
          <w:tab w:pos="5467" w:val="left" w:leader="none"/>
        </w:tabs>
        <w:spacing w:line="200" w:lineRule="atLeast"/>
        <w:ind w:left="110" w:right="0" w:firstLine="0"/>
        <w:rPr>
          <w:rFonts w:ascii="Theinhardt Bold" w:hAnsi="Theinhardt Bold" w:cs="Theinhardt Bold" w:eastAsia="Theinhardt Bold"/>
          <w:sz w:val="20"/>
          <w:szCs w:val="20"/>
        </w:rPr>
      </w:pPr>
      <w:r>
        <w:rPr>
          <w:rFonts w:ascii="Theinhardt Bold"/>
          <w:position w:val="1"/>
          <w:sz w:val="20"/>
        </w:rPr>
        <w:drawing>
          <wp:inline distT="0" distB="0" distL="0" distR="0">
            <wp:extent cx="3259971" cy="2575560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9971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position w:val="1"/>
          <w:sz w:val="20"/>
        </w:rPr>
      </w:r>
      <w:r>
        <w:rPr>
          <w:rFonts w:ascii="Theinhardt Bold"/>
          <w:position w:val="1"/>
          <w:sz w:val="20"/>
        </w:rPr>
        <w:tab/>
      </w:r>
      <w:r>
        <w:rPr>
          <w:rFonts w:ascii="Theinhardt Bold"/>
          <w:sz w:val="20"/>
        </w:rPr>
        <w:drawing>
          <wp:inline distT="0" distB="0" distL="0" distR="0">
            <wp:extent cx="3260146" cy="2584704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0146" cy="258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sz w:val="20"/>
        </w:rPr>
      </w:r>
    </w:p>
    <w:p>
      <w:pPr>
        <w:tabs>
          <w:tab w:pos="5474" w:val="left" w:leader="none"/>
        </w:tabs>
        <w:spacing w:before="16"/>
        <w:ind w:left="11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position w:val="1"/>
          <w:sz w:val="14"/>
        </w:rPr>
        <w:t>2</w:t>
        <w:tab/>
      </w:r>
      <w:r>
        <w:rPr>
          <w:rFonts w:ascii="Theinhardt Bold"/>
          <w:b/>
          <w:color w:val="231F20"/>
          <w:sz w:val="14"/>
        </w:rPr>
        <w:t>3</w:t>
      </w:r>
      <w:r>
        <w:rPr>
          <w:rFonts w:ascii="Theinhardt Bold"/>
          <w:sz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9"/>
        <w:rPr>
          <w:rFonts w:ascii="Theinhardt Bold" w:hAnsi="Theinhardt Bold" w:cs="Theinhardt Bold" w:eastAsia="Theinhardt Bold"/>
          <w:b/>
          <w:bCs/>
          <w:sz w:val="19"/>
          <w:szCs w:val="19"/>
        </w:rPr>
      </w:pPr>
    </w:p>
    <w:p>
      <w:pPr>
        <w:spacing w:after="0" w:line="240" w:lineRule="auto"/>
        <w:rPr>
          <w:rFonts w:ascii="Theinhardt Bold" w:hAnsi="Theinhardt Bold" w:cs="Theinhardt Bold" w:eastAsia="Theinhardt Bold"/>
          <w:sz w:val="19"/>
          <w:szCs w:val="19"/>
        </w:rPr>
        <w:sectPr>
          <w:pgSz w:w="11910" w:h="16840"/>
          <w:pgMar w:top="860" w:bottom="280" w:left="740" w:right="460"/>
        </w:sectPr>
      </w:pPr>
    </w:p>
    <w:p>
      <w:pPr>
        <w:numPr>
          <w:ilvl w:val="0"/>
          <w:numId w:val="1"/>
        </w:numPr>
        <w:tabs>
          <w:tab w:pos="338" w:val="left" w:leader="none"/>
        </w:tabs>
        <w:spacing w:line="160" w:lineRule="exact" w:before="76"/>
        <w:ind w:left="337" w:right="0" w:hanging="227"/>
        <w:jc w:val="both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4"/>
          <w:szCs w:val="14"/>
        </w:rPr>
        <w:t>L’immeuble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Sakura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intègre un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système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solaire</w:t>
      </w:r>
      <w:r>
        <w:rPr>
          <w:rFonts w:ascii="Theinhardt Bold" w:hAnsi="Theinhardt Bold" w:cs="Theinhardt Bold" w:eastAsia="Theinhardt Bold"/>
          <w:b/>
          <w:bCs/>
          <w:color w:val="231F20"/>
          <w:spacing w:val="49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thermique</w:t>
      </w:r>
      <w:r>
        <w:rPr>
          <w:rFonts w:ascii="Theinhardt Bold" w:hAnsi="Theinhardt Bold" w:cs="Theinhardt Bold" w:eastAsia="Theinhardt Bold"/>
          <w:b/>
          <w:bCs/>
          <w:color w:val="231F20"/>
          <w:spacing w:val="19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en</w:t>
      </w:r>
      <w:r>
        <w:rPr>
          <w:rFonts w:ascii="Theinhardt Bold" w:hAnsi="Theinhardt Bold" w:cs="Theinhardt Bold" w:eastAsia="Theinhardt Bold"/>
          <w:b/>
          <w:bCs/>
          <w:color w:val="231F20"/>
          <w:spacing w:val="19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façade</w:t>
      </w:r>
      <w:r>
        <w:rPr>
          <w:rFonts w:ascii="Theinhardt Bold" w:hAnsi="Theinhardt Bold" w:cs="Theinhardt Bold" w:eastAsia="Theinhardt Bold"/>
          <w:b/>
          <w:bCs/>
          <w:color w:val="231F20"/>
          <w:spacing w:val="19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sud</w:t>
      </w:r>
      <w:r>
        <w:rPr>
          <w:rFonts w:ascii="Theinhardt Bold" w:hAnsi="Theinhardt Bold" w:cs="Theinhardt Bold" w:eastAsia="Theinhardt Bold"/>
          <w:b/>
          <w:bCs/>
          <w:color w:val="231F20"/>
          <w:spacing w:val="19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et</w:t>
      </w:r>
      <w:r>
        <w:rPr>
          <w:rFonts w:ascii="Theinhardt Bold" w:hAnsi="Theinhardt Bold" w:cs="Theinhardt Bold" w:eastAsia="Theinhardt Bold"/>
          <w:b/>
          <w:bCs/>
          <w:color w:val="231F20"/>
          <w:spacing w:val="19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une</w:t>
      </w:r>
      <w:r>
        <w:rPr>
          <w:rFonts w:ascii="Theinhardt Bold" w:hAnsi="Theinhardt Bold" w:cs="Theinhardt Bold" w:eastAsia="Theinhardt Bold"/>
          <w:b/>
          <w:bCs/>
          <w:color w:val="231F20"/>
          <w:spacing w:val="19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installation</w:t>
      </w:r>
      <w:r>
        <w:rPr>
          <w:rFonts w:ascii="Theinhardt Bold" w:hAnsi="Theinhardt Bold" w:cs="Theinhardt Bold" w:eastAsia="Theinhardt Bold"/>
          <w:b/>
          <w:bCs/>
          <w:color w:val="231F20"/>
          <w:spacing w:val="19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PV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sur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le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toit qui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génèrent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ensemble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53’500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kWh/a.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numPr>
          <w:ilvl w:val="0"/>
          <w:numId w:val="1"/>
        </w:numPr>
        <w:tabs>
          <w:tab w:pos="323" w:val="left" w:leader="none"/>
        </w:tabs>
        <w:spacing w:line="160" w:lineRule="exact" w:before="76"/>
        <w:ind w:left="337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br w:type="column"/>
        <w:t>Le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système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solaire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thermique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en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façade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sud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four-</w:t>
      </w:r>
      <w:r>
        <w:rPr>
          <w:rFonts w:ascii="Theinhardt Bold" w:hAnsi="Theinhardt Bold" w:cs="Theinhardt Bold" w:eastAsia="Theinhardt Bold"/>
          <w:b/>
          <w:bCs/>
          <w:color w:val="231F20"/>
          <w:spacing w:val="24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nit 21’000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4"/>
          <w:szCs w:val="14"/>
        </w:rPr>
        <w:t>kWh/a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sur une surface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70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m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position w:val="5"/>
          <w:sz w:val="8"/>
          <w:szCs w:val="8"/>
        </w:rPr>
        <w:t>2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.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numPr>
          <w:ilvl w:val="0"/>
          <w:numId w:val="1"/>
        </w:numPr>
        <w:tabs>
          <w:tab w:pos="338" w:val="left" w:leader="none"/>
        </w:tabs>
        <w:spacing w:line="160" w:lineRule="exact" w:before="76"/>
        <w:ind w:left="337" w:right="99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br w:type="column"/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Sur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le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toit,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l’installation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PV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de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27.3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kW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orientée</w:t>
      </w:r>
      <w:r>
        <w:rPr>
          <w:rFonts w:ascii="Theinhardt Bold" w:hAnsi="Theinhardt Bold" w:cs="Theinhardt Bold" w:eastAsia="Theinhardt Bold"/>
          <w:b/>
          <w:bCs/>
          <w:color w:val="231F20"/>
          <w:spacing w:val="2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est-ouest</w:t>
      </w:r>
      <w:r>
        <w:rPr>
          <w:rFonts w:ascii="Theinhardt Bold" w:hAnsi="Theinhardt Bold" w:cs="Theinhardt Bold" w:eastAsia="Theinhardt Bold"/>
          <w:b/>
          <w:bCs/>
          <w:color w:val="231F20"/>
          <w:spacing w:val="-8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et</w:t>
      </w:r>
      <w:r>
        <w:rPr>
          <w:rFonts w:ascii="Theinhardt Bold" w:hAnsi="Theinhardt Bold" w:cs="Theinhardt Bold" w:eastAsia="Theinhardt Bold"/>
          <w:b/>
          <w:bCs/>
          <w:color w:val="231F20"/>
          <w:spacing w:val="-8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inclinée</w:t>
      </w:r>
      <w:r>
        <w:rPr>
          <w:rFonts w:ascii="Theinhardt Bold" w:hAnsi="Theinhardt Bold" w:cs="Theinhardt Bold" w:eastAsia="Theinhardt Bold"/>
          <w:b/>
          <w:bCs/>
          <w:color w:val="231F20"/>
          <w:spacing w:val="-8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à</w:t>
      </w:r>
      <w:r>
        <w:rPr>
          <w:rFonts w:ascii="Theinhardt Bold" w:hAnsi="Theinhardt Bold" w:cs="Theinhardt Bold" w:eastAsia="Theinhardt Bold"/>
          <w:b/>
          <w:bCs/>
          <w:color w:val="231F20"/>
          <w:spacing w:val="-8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10°</w:t>
      </w:r>
      <w:r>
        <w:rPr>
          <w:rFonts w:ascii="Theinhardt Bold" w:hAnsi="Theinhardt Bold" w:cs="Theinhardt Bold" w:eastAsia="Theinhardt Bold"/>
          <w:b/>
          <w:bCs/>
          <w:color w:val="231F20"/>
          <w:spacing w:val="-8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produit</w:t>
      </w:r>
      <w:r>
        <w:rPr>
          <w:rFonts w:ascii="Theinhardt Bold" w:hAnsi="Theinhardt Bold" w:cs="Theinhardt Bold" w:eastAsia="Theinhardt Bold"/>
          <w:b/>
          <w:bCs/>
          <w:color w:val="231F20"/>
          <w:spacing w:val="-8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32’500</w:t>
      </w:r>
      <w:r>
        <w:rPr>
          <w:rFonts w:ascii="Theinhardt Bold" w:hAnsi="Theinhardt Bold" w:cs="Theinhardt Bold" w:eastAsia="Theinhardt Bold"/>
          <w:b/>
          <w:bCs/>
          <w:color w:val="231F20"/>
          <w:spacing w:val="-8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kWh/a.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after="0" w:line="160" w:lineRule="exact"/>
        <w:jc w:val="left"/>
        <w:rPr>
          <w:rFonts w:ascii="Theinhardt Bold" w:hAnsi="Theinhardt Bold" w:cs="Theinhardt Bold" w:eastAsia="Theinhardt Bold"/>
          <w:sz w:val="14"/>
          <w:szCs w:val="14"/>
        </w:rPr>
        <w:sectPr>
          <w:type w:val="continuous"/>
          <w:pgSz w:w="11910" w:h="16840"/>
          <w:pgMar w:top="840" w:bottom="280" w:left="740" w:right="460"/>
          <w:cols w:num="3" w:equalWidth="0">
            <w:col w:w="3456" w:space="116"/>
            <w:col w:w="3456" w:space="116"/>
            <w:col w:w="3566"/>
          </w:cols>
        </w:sectPr>
      </w:pPr>
    </w:p>
    <w:p>
      <w:pPr>
        <w:spacing w:line="240" w:lineRule="auto" w:before="6"/>
        <w:rPr>
          <w:rFonts w:ascii="Theinhardt Bold" w:hAnsi="Theinhardt Bold" w:cs="Theinhardt Bold" w:eastAsia="Theinhardt Bold"/>
          <w:b/>
          <w:bCs/>
          <w:sz w:val="26"/>
          <w:szCs w:val="26"/>
        </w:rPr>
      </w:pPr>
    </w:p>
    <w:p>
      <w:pPr>
        <w:spacing w:before="70"/>
        <w:ind w:left="6666" w:right="0" w:firstLine="0"/>
        <w:jc w:val="left"/>
        <w:rPr>
          <w:rFonts w:ascii="Theinhardt Heavy" w:hAnsi="Theinhardt Heavy" w:cs="Theinhardt Heavy" w:eastAsia="Theinhardt Heavy"/>
          <w:sz w:val="14"/>
          <w:szCs w:val="14"/>
        </w:rPr>
      </w:pP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2021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2021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Heavy"/>
          <w:b/>
          <w:color w:val="231F20"/>
          <w:sz w:val="14"/>
        </w:rPr>
        <w:t>59</w:t>
      </w:r>
      <w:r>
        <w:rPr>
          <w:rFonts w:ascii="Theinhardt Heavy"/>
          <w:sz w:val="14"/>
        </w:rPr>
      </w:r>
    </w:p>
    <w:sectPr>
      <w:type w:val="continuous"/>
      <w:pgSz w:w="11910" w:h="16840"/>
      <w:pgMar w:top="840" w:bottom="280" w:left="74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heinhardt Regular">
    <w:altName w:val="Theinhardt Regular"/>
    <w:charset w:val="0"/>
    <w:family w:val="swiss"/>
    <w:pitch w:val="variable"/>
  </w:font>
  <w:font w:name="Theinhardt Regular Italic">
    <w:altName w:val="Theinhardt Regular Italic"/>
    <w:charset w:val="0"/>
    <w:family w:val="swiss"/>
    <w:pitch w:val="variable"/>
  </w:font>
  <w:font w:name="Theinhardt Heavy">
    <w:altName w:val="Theinhardt Heavy"/>
    <w:charset w:val="0"/>
    <w:family w:val="swiss"/>
    <w:pitch w:val="variable"/>
  </w:font>
  <w:font w:name="Theinhardt Bold">
    <w:altName w:val="Theinhardt Bold"/>
    <w:charset w:val="0"/>
    <w:family w:val="swiss"/>
    <w:pitch w:val="variable"/>
  </w:font>
  <w:font w:name="Theinhardt Black">
    <w:altName w:val="Theinhardt Black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337" w:hanging="227"/>
        <w:jc w:val="left"/>
      </w:pPr>
      <w:rPr>
        <w:rFonts w:hint="default" w:ascii="Theinhardt Bold" w:hAnsi="Theinhardt Bold" w:eastAsia="Theinhardt Bold"/>
        <w:b/>
        <w:bCs/>
        <w:color w:val="231F20"/>
        <w:sz w:val="14"/>
        <w:szCs w:val="14"/>
      </w:rPr>
    </w:lvl>
    <w:lvl w:ilvl="1">
      <w:start w:val="1"/>
      <w:numFmt w:val="bullet"/>
      <w:lvlText w:val="•"/>
      <w:lvlJc w:val="left"/>
      <w:pPr>
        <w:ind w:left="649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60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72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84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896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208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519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31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06" w:firstLine="226"/>
    </w:pPr>
    <w:rPr>
      <w:rFonts w:ascii="Theinhardt Regular Italic" w:hAnsi="Theinhardt Regular Italic" w:eastAsia="Theinhardt Regular Italic"/>
      <w:i/>
      <w:sz w:val="18"/>
      <w:szCs w:val="18"/>
    </w:rPr>
  </w:style>
  <w:style w:styleId="Heading1" w:type="paragraph">
    <w:name w:val="Heading 1"/>
    <w:basedOn w:val="Normal"/>
    <w:uiPriority w:val="1"/>
    <w:qFormat/>
    <w:pPr>
      <w:ind w:left="106"/>
      <w:outlineLvl w:val="1"/>
    </w:pPr>
    <w:rPr>
      <w:rFonts w:ascii="Theinhardt Regular" w:hAnsi="Theinhardt Regular" w:eastAsia="Theinhardt Regular"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info@sakura.immo" TargetMode="External"/><Relationship Id="rId6" Type="http://schemas.openxmlformats.org/officeDocument/2006/relationships/hyperlink" Target="mailto:beat@kaempfen.com" TargetMode="External"/><Relationship Id="rId7" Type="http://schemas.openxmlformats.org/officeDocument/2006/relationships/hyperlink" Target="http://www.energie-solaire.com/" TargetMode="External"/><Relationship Id="rId8" Type="http://schemas.openxmlformats.org/officeDocument/2006/relationships/hyperlink" Target="http://www.i-watt.ch/" TargetMode="External"/><Relationship Id="rId9" Type="http://schemas.openxmlformats.org/officeDocument/2006/relationships/image" Target="media/image1.jpeg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2021-10-19T14:01:59Z</dcterms:created>
  <dcterms:modified xsi:type="dcterms:W3CDTF">2021-10-19T14:01:59Z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2021-10-19T00:00:00Z</vt:filetime>
  </property>
  <property fmtid="{D5CDD505-2E9C-101B-9397-08002B2CF9AE}" pid="3" name="LastSaved">
    <vt:filetime>2021-10-19T00:00:00Z</vt:filetime>
  </property>
</Properties>
</file>