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76C3" w14:textId="77777777" w:rsidR="00163481" w:rsidRDefault="000A07D7">
      <w:pPr>
        <w:pStyle w:val="berschrift1"/>
        <w:spacing w:before="37" w:line="234" w:lineRule="exact"/>
        <w:rPr>
          <w:rFonts w:ascii="Theinhardt Heavy" w:eastAsia="Theinhardt Heavy" w:hAnsi="Theinhardt Heavy" w:cs="Theinhardt Heavy"/>
          <w:b w:val="0"/>
          <w:bCs w:val="0"/>
        </w:rPr>
      </w:pPr>
      <w:r>
        <w:rPr>
          <w:rFonts w:ascii="Theinhardt Heavy"/>
          <w:color w:val="231F20"/>
        </w:rPr>
        <w:t>Kategorie B</w:t>
      </w:r>
    </w:p>
    <w:p w14:paraId="591E1791" w14:textId="77777777" w:rsidR="00163481" w:rsidRDefault="000A07D7">
      <w:pPr>
        <w:tabs>
          <w:tab w:val="left" w:pos="2546"/>
        </w:tabs>
        <w:spacing w:before="2" w:line="232" w:lineRule="auto"/>
        <w:ind w:left="106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4633690B">
          <v:group id="_x0000_s1052" style="position:absolute;left:0;text-align:left;margin-left:28.55pt;margin-top:11.6pt;width:.1pt;height:.1pt;z-index:-5848;mso-position-horizontal-relative:page" coordorigin="571,232" coordsize="2,2">
            <v:shape id="_x0000_s1053" style="position:absolute;left:571;top:232;width:2;height:2" coordorigin="571,232" coordsize="0,0" path="m571,232r,e" filled="f" strokecolor="#231f20" strokeweight=".14994mm">
              <v:path arrowok="t"/>
            </v:shape>
            <w10:wrap anchorx="page"/>
          </v:group>
        </w:pict>
      </w:r>
      <w:r>
        <w:pict w14:anchorId="3D51B518">
          <v:group id="_x0000_s1050" style="position:absolute;left:0;text-align:left;margin-left:150.75pt;margin-top:11.6pt;width:.1pt;height:.1pt;z-index:1120;mso-position-horizontal-relative:page" coordorigin="3015,232" coordsize="2,2">
            <v:shape id="_x0000_s1051" style="position:absolute;left:3015;top:232;width:2;height:2" coordorigin="3015,232" coordsize="0,0" path="m3015,232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Gebäude: Neubauten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727AF1E9" w14:textId="77777777" w:rsidR="00163481" w:rsidRDefault="000A07D7">
      <w:pPr>
        <w:pStyle w:val="berschrift1"/>
        <w:spacing w:line="230" w:lineRule="exact"/>
        <w:ind w:right="10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C1C23"/>
          <w:spacing w:val="-1"/>
        </w:rPr>
        <w:t>Das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2019/2020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erstellte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Betriebsgebäude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in</w:t>
      </w:r>
      <w:r>
        <w:rPr>
          <w:color w:val="0C1C23"/>
          <w:spacing w:val="-17"/>
        </w:rPr>
        <w:t xml:space="preserve"> </w:t>
      </w:r>
      <w:r>
        <w:rPr>
          <w:color w:val="0C1C23"/>
          <w:spacing w:val="-2"/>
        </w:rPr>
        <w:t>Tamins/GR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konsumiert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117’900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3"/>
        </w:rPr>
        <w:t>kWh/a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inkl.</w:t>
      </w:r>
      <w:r>
        <w:rPr>
          <w:color w:val="0C1C23"/>
          <w:spacing w:val="-17"/>
        </w:rPr>
        <w:t xml:space="preserve"> </w:t>
      </w:r>
      <w:r>
        <w:rPr>
          <w:color w:val="0C1C23"/>
          <w:spacing w:val="-1"/>
        </w:rPr>
        <w:t>17’300</w:t>
      </w:r>
      <w:r>
        <w:rPr>
          <w:color w:val="0C1C23"/>
          <w:spacing w:val="26"/>
        </w:rPr>
        <w:t xml:space="preserve"> </w:t>
      </w:r>
      <w:r>
        <w:rPr>
          <w:color w:val="0C1C23"/>
          <w:spacing w:val="-1"/>
        </w:rPr>
        <w:t>kWh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für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die</w:t>
      </w:r>
      <w:r>
        <w:rPr>
          <w:color w:val="0C1C23"/>
          <w:spacing w:val="-7"/>
        </w:rPr>
        <w:t xml:space="preserve"> </w:t>
      </w:r>
      <w:r>
        <w:rPr>
          <w:color w:val="0C1C23"/>
        </w:rPr>
        <w:t>6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solarbetriebenen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2"/>
        </w:rPr>
        <w:t>Elektrofahrzeuge,</w:t>
      </w:r>
      <w:r>
        <w:rPr>
          <w:color w:val="0C1C23"/>
          <w:spacing w:val="-14"/>
        </w:rPr>
        <w:t xml:space="preserve"> </w:t>
      </w:r>
      <w:r>
        <w:rPr>
          <w:color w:val="0C1C23"/>
          <w:spacing w:val="-1"/>
        </w:rPr>
        <w:t>die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täglich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im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vollen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Einsatz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sind.</w:t>
      </w:r>
      <w:r>
        <w:rPr>
          <w:color w:val="0C1C23"/>
          <w:spacing w:val="-14"/>
        </w:rPr>
        <w:t xml:space="preserve"> </w:t>
      </w:r>
      <w:r>
        <w:rPr>
          <w:color w:val="0C1C23"/>
          <w:spacing w:val="-1"/>
        </w:rPr>
        <w:t>Dank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der</w:t>
      </w:r>
      <w:r>
        <w:rPr>
          <w:color w:val="0C1C23"/>
          <w:spacing w:val="-7"/>
        </w:rPr>
        <w:t xml:space="preserve"> </w:t>
      </w:r>
      <w:r>
        <w:rPr>
          <w:color w:val="0C1C23"/>
          <w:spacing w:val="-1"/>
        </w:rPr>
        <w:t>gu-</w:t>
      </w:r>
      <w:r>
        <w:rPr>
          <w:color w:val="0C1C23"/>
          <w:spacing w:val="85"/>
        </w:rPr>
        <w:t xml:space="preserve"> </w:t>
      </w:r>
      <w:r>
        <w:rPr>
          <w:color w:val="0C1C23"/>
          <w:spacing w:val="-1"/>
        </w:rPr>
        <w:t>ten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Wärmedämmung,</w:t>
      </w:r>
      <w:r>
        <w:rPr>
          <w:color w:val="0C1C23"/>
          <w:spacing w:val="-17"/>
        </w:rPr>
        <w:t xml:space="preserve"> </w:t>
      </w:r>
      <w:r>
        <w:rPr>
          <w:color w:val="0C1C23"/>
          <w:spacing w:val="-2"/>
        </w:rPr>
        <w:t>energiesparenden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Geräten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und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LED-Lampen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benötigt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der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Neubau</w:t>
      </w:r>
      <w:r>
        <w:rPr>
          <w:color w:val="0C1C23"/>
          <w:spacing w:val="-10"/>
        </w:rPr>
        <w:t xml:space="preserve"> </w:t>
      </w:r>
      <w:r>
        <w:rPr>
          <w:color w:val="0C1C23"/>
          <w:spacing w:val="-1"/>
        </w:rPr>
        <w:t>100’600</w:t>
      </w:r>
      <w:r>
        <w:rPr>
          <w:color w:val="0C1C23"/>
          <w:spacing w:val="74"/>
        </w:rPr>
        <w:t xml:space="preserve"> </w:t>
      </w:r>
      <w:r>
        <w:rPr>
          <w:color w:val="0C1C23"/>
          <w:spacing w:val="-3"/>
        </w:rPr>
        <w:t>kWh/a.</w:t>
      </w:r>
      <w:r>
        <w:rPr>
          <w:color w:val="0C1C23"/>
          <w:spacing w:val="-11"/>
        </w:rPr>
        <w:t xml:space="preserve"> </w:t>
      </w:r>
      <w:r>
        <w:rPr>
          <w:color w:val="0C1C23"/>
          <w:spacing w:val="-1"/>
        </w:rPr>
        <w:t>Die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66.3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kW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PV-Dachanlage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erzeugt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76’800</w:t>
      </w:r>
      <w:r>
        <w:rPr>
          <w:color w:val="0C1C23"/>
          <w:spacing w:val="-3"/>
        </w:rPr>
        <w:t xml:space="preserve"> kWh/a.</w:t>
      </w:r>
      <w:r>
        <w:rPr>
          <w:color w:val="0C1C23"/>
          <w:spacing w:val="-11"/>
        </w:rPr>
        <w:t xml:space="preserve"> </w:t>
      </w:r>
      <w:r>
        <w:rPr>
          <w:color w:val="0C1C23"/>
          <w:spacing w:val="-1"/>
        </w:rPr>
        <w:t>Die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suboptimal</w:t>
      </w:r>
      <w:r>
        <w:rPr>
          <w:color w:val="0C1C23"/>
          <w:spacing w:val="-3"/>
        </w:rPr>
        <w:t xml:space="preserve"> </w:t>
      </w:r>
      <w:r>
        <w:rPr>
          <w:color w:val="0C1C23"/>
        </w:rPr>
        <w:t>genutzte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8.8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kW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2"/>
        </w:rPr>
        <w:t>PV-</w:t>
      </w:r>
      <w:r>
        <w:rPr>
          <w:color w:val="0C1C23"/>
          <w:spacing w:val="55"/>
        </w:rPr>
        <w:t xml:space="preserve"> </w:t>
      </w:r>
      <w:r>
        <w:rPr>
          <w:color w:val="0C1C23"/>
          <w:spacing w:val="-1"/>
        </w:rPr>
        <w:t>Fassadenanlage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produziert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rund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10’200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3"/>
        </w:rPr>
        <w:t>kWh/a.</w:t>
      </w:r>
      <w:r>
        <w:rPr>
          <w:color w:val="0C1C23"/>
          <w:spacing w:val="3"/>
        </w:rPr>
        <w:t xml:space="preserve"> </w:t>
      </w:r>
      <w:r>
        <w:rPr>
          <w:color w:val="0C1C23"/>
          <w:spacing w:val="-1"/>
        </w:rPr>
        <w:t>Zusammen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2"/>
        </w:rPr>
        <w:t>produzieren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beide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Anlagen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87’000</w:t>
      </w:r>
      <w:r>
        <w:rPr>
          <w:color w:val="0C1C23"/>
          <w:spacing w:val="66"/>
        </w:rPr>
        <w:t xml:space="preserve"> </w:t>
      </w:r>
      <w:r>
        <w:rPr>
          <w:color w:val="0C1C23"/>
          <w:spacing w:val="-3"/>
        </w:rPr>
        <w:t>kWh/a.</w:t>
      </w:r>
      <w:r>
        <w:rPr>
          <w:color w:val="0C1C23"/>
          <w:spacing w:val="15"/>
        </w:rPr>
        <w:t xml:space="preserve"> </w:t>
      </w:r>
      <w:r>
        <w:rPr>
          <w:color w:val="0C1C23"/>
          <w:spacing w:val="-1"/>
        </w:rPr>
        <w:t>Damit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1"/>
        </w:rPr>
        <w:t>weist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1"/>
        </w:rPr>
        <w:t>das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1"/>
        </w:rPr>
        <w:t>Gebäude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1"/>
        </w:rPr>
        <w:t>eine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2"/>
        </w:rPr>
        <w:t>Eigenenergieversorgung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1"/>
        </w:rPr>
        <w:t>von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1"/>
        </w:rPr>
        <w:t>86%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3"/>
        </w:rPr>
        <w:t>auf.</w:t>
      </w:r>
      <w:r>
        <w:rPr>
          <w:color w:val="0C1C23"/>
          <w:spacing w:val="15"/>
        </w:rPr>
        <w:t xml:space="preserve"> </w:t>
      </w:r>
      <w:r>
        <w:rPr>
          <w:color w:val="0C1C23"/>
          <w:spacing w:val="-1"/>
        </w:rPr>
        <w:t>Die</w:t>
      </w:r>
      <w:r>
        <w:rPr>
          <w:color w:val="0C1C23"/>
          <w:spacing w:val="22"/>
        </w:rPr>
        <w:t xml:space="preserve"> </w:t>
      </w:r>
      <w:r>
        <w:rPr>
          <w:color w:val="0C1C23"/>
          <w:spacing w:val="-1"/>
        </w:rPr>
        <w:t>Rhiienergie</w:t>
      </w:r>
      <w:r>
        <w:rPr>
          <w:color w:val="0C1C23"/>
          <w:spacing w:val="73"/>
        </w:rPr>
        <w:t xml:space="preserve"> </w:t>
      </w:r>
      <w:r>
        <w:rPr>
          <w:color w:val="0C1C23"/>
          <w:spacing w:val="-1"/>
        </w:rPr>
        <w:t>versorgt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ihre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Einzugsregion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mit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über</w:t>
      </w:r>
      <w:r>
        <w:rPr>
          <w:color w:val="0C1C23"/>
          <w:spacing w:val="-2"/>
        </w:rPr>
        <w:t xml:space="preserve"> </w:t>
      </w:r>
      <w:r>
        <w:rPr>
          <w:color w:val="0C1C23"/>
        </w:rPr>
        <w:t>7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4"/>
        </w:rPr>
        <w:t>GWh/a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oder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mit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bemerkenswerten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11.5%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Solarstrom.</w:t>
      </w:r>
    </w:p>
    <w:p w14:paraId="719F687C" w14:textId="77777777" w:rsidR="00163481" w:rsidRDefault="00163481">
      <w:pPr>
        <w:spacing w:line="230" w:lineRule="exact"/>
        <w:jc w:val="both"/>
        <w:sectPr w:rsidR="00163481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0B784C2B" w14:textId="77777777" w:rsidR="00163481" w:rsidRDefault="0016348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10ECF7C" w14:textId="77777777" w:rsidR="00163481" w:rsidRDefault="0016348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03A94EC" w14:textId="77777777" w:rsidR="00163481" w:rsidRDefault="0016348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F29B005" w14:textId="77777777" w:rsidR="00163481" w:rsidRDefault="0016348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D5289F5" w14:textId="77777777" w:rsidR="00163481" w:rsidRDefault="00163481">
      <w:pPr>
        <w:spacing w:before="6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32834330" w14:textId="77777777" w:rsidR="00163481" w:rsidRDefault="000A07D7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3"/>
          <w:sz w:val="40"/>
        </w:rPr>
        <w:t>86%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1"/>
          <w:sz w:val="40"/>
        </w:rPr>
        <w:t>Betriebsgebäude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1"/>
          <w:sz w:val="40"/>
        </w:rPr>
        <w:t>Rhiienergie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5"/>
          <w:sz w:val="40"/>
        </w:rPr>
        <w:t>AG,</w:t>
      </w:r>
      <w:r>
        <w:rPr>
          <w:rFonts w:ascii="Theinhardt Black" w:hAns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3"/>
          <w:sz w:val="40"/>
        </w:rPr>
        <w:t>7015</w:t>
      </w:r>
      <w:r>
        <w:rPr>
          <w:rFonts w:ascii="Theinhardt Black" w:hAns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4"/>
          <w:sz w:val="40"/>
        </w:rPr>
        <w:t>Tamins/GR</w:t>
      </w:r>
    </w:p>
    <w:p w14:paraId="70B55157" w14:textId="77777777" w:rsidR="00163481" w:rsidRDefault="00163481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76FE6CB0" w14:textId="77777777" w:rsidR="00163481" w:rsidRDefault="00163481">
      <w:pPr>
        <w:rPr>
          <w:rFonts w:ascii="Theinhardt Black" w:eastAsia="Theinhardt Black" w:hAnsi="Theinhardt Black" w:cs="Theinhardt Black"/>
        </w:rPr>
        <w:sectPr w:rsidR="00163481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99CA655" w14:textId="77777777" w:rsidR="00163481" w:rsidRDefault="000A07D7">
      <w:pPr>
        <w:pStyle w:val="berschrift2"/>
        <w:spacing w:before="71" w:line="230" w:lineRule="exact"/>
        <w:jc w:val="both"/>
      </w:pPr>
      <w:r>
        <w:rPr>
          <w:color w:val="231F20"/>
        </w:rPr>
        <w:t>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2019-2020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erstellte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Firmensitz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Rhiienergie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Kantonsstrasse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Ta-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mins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vereint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neue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Büroräume,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Lager,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Werk-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stätten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Garagen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PV-Dach.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schlichte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moderne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Neubau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Holzverschalung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fügt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Umge-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bung ein.</w:t>
      </w:r>
    </w:p>
    <w:p w14:paraId="29A5D13D" w14:textId="77777777" w:rsidR="00163481" w:rsidRDefault="000A07D7">
      <w:pPr>
        <w:spacing w:before="14" w:line="232" w:lineRule="auto"/>
        <w:ind w:left="106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-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Gebäude</w:t>
      </w:r>
      <w:r>
        <w:rPr>
          <w:rFonts w:ascii="Theinhardt Regular" w:eastAsia="Theinhardt Regular" w:hAnsi="Theinhardt Regular" w:cs="Theinhardt Regular"/>
          <w:color w:val="231F20"/>
          <w:spacing w:val="-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ist</w:t>
      </w:r>
      <w:r>
        <w:rPr>
          <w:rFonts w:ascii="Theinhardt Regular" w:eastAsia="Theinhardt Regular" w:hAnsi="Theinhardt Regular" w:cs="Theinhardt Regular"/>
          <w:color w:val="231F20"/>
          <w:spacing w:val="-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im</w:t>
      </w:r>
      <w:r>
        <w:rPr>
          <w:rFonts w:ascii="Theinhardt Regular" w:eastAsia="Theinhardt Regular" w:hAnsi="Theinhardt Regular" w:cs="Theinhardt Regular"/>
          <w:color w:val="231F20"/>
          <w:spacing w:val="-3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Dachbereich</w:t>
      </w:r>
      <w:r>
        <w:rPr>
          <w:rFonts w:ascii="Theinhardt Regular" w:eastAsia="Theinhardt Regular" w:hAnsi="Theinhardt Regular" w:cs="Theinhardt Regular"/>
          <w:color w:val="231F20"/>
          <w:spacing w:val="-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-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32</w:t>
      </w:r>
      <w:r>
        <w:rPr>
          <w:rFonts w:ascii="Theinhardt Regular" w:eastAsia="Theinhardt Regular" w:hAnsi="Theinhardt Regular" w:cs="Theinhardt Regular"/>
          <w:color w:val="231F20"/>
          <w:spacing w:val="-3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cm</w:t>
      </w:r>
      <w:r>
        <w:rPr>
          <w:rFonts w:ascii="Theinhardt Regular" w:eastAsia="Theinhardt Regular" w:hAnsi="Theinhardt Regular" w:cs="Theinhardt Regular"/>
          <w:color w:val="231F20"/>
          <w:spacing w:val="29"/>
          <w:w w:val="9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gut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gedämmt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verwendet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energieeffizi-</w:t>
      </w:r>
      <w:r>
        <w:rPr>
          <w:rFonts w:ascii="Theinhardt Regular" w:eastAsia="Theinhardt Regular" w:hAnsi="Theinhardt Regular" w:cs="Theinhardt Regular"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ente</w:t>
      </w:r>
      <w:r>
        <w:rPr>
          <w:rFonts w:ascii="Theinhardt Regular" w:eastAsia="Theinhardt Regular" w:hAnsi="Theinhardt Regular" w:cs="Theinhardt Regular"/>
          <w:color w:val="231F20"/>
          <w:spacing w:val="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Elektrogeräte</w:t>
      </w:r>
      <w:r>
        <w:rPr>
          <w:rFonts w:ascii="Theinhardt Regular" w:eastAsia="Theinhardt Regular" w:hAnsi="Theinhardt Regular" w:cs="Theinhardt Regular"/>
          <w:color w:val="231F20"/>
          <w:spacing w:val="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LED-Lampen.</w:t>
      </w:r>
      <w:r>
        <w:rPr>
          <w:rFonts w:ascii="Theinhardt Regular" w:eastAsia="Theinhardt Regular" w:hAnsi="Theinhardt Regular" w:cs="Theinhardt Regular"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einer</w:t>
      </w:r>
      <w:r>
        <w:rPr>
          <w:rFonts w:ascii="Theinhardt Regular" w:eastAsia="Theinhardt Regular" w:hAnsi="Theinhardt Regular" w:cs="Theinhardt Regular"/>
          <w:color w:val="231F20"/>
          <w:spacing w:val="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Energiebezugsfläche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1’612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27"/>
          <w:w w:val="104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benötigt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Gebäude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rund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100’600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kWh</w:t>
      </w:r>
      <w:r>
        <w:rPr>
          <w:rFonts w:ascii="Theinhardt Regular" w:eastAsia="Theinhardt Regular" w:hAnsi="Theinhardt Regular" w:cs="Theinhardt Regular"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im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Jahr.</w:t>
      </w:r>
      <w:r>
        <w:rPr>
          <w:rFonts w:ascii="Theinhardt Regular" w:eastAsia="Theinhardt Regular" w:hAnsi="Theinhardt Regular" w:cs="Theinhardt Regular"/>
          <w:color w:val="231F20"/>
          <w:spacing w:val="-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Nicht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miteingerechnet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ist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Strom-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verbrauch</w:t>
      </w:r>
      <w:r>
        <w:rPr>
          <w:rFonts w:ascii="Theinhardt Regular" w:eastAsia="Theinhardt Regular" w:hAnsi="Theinhardt Regular" w:cs="Theinhardt Regular"/>
          <w:color w:val="231F20"/>
          <w:spacing w:val="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sechs</w:t>
      </w:r>
      <w:r>
        <w:rPr>
          <w:rFonts w:ascii="Theinhardt Regular" w:eastAsia="Theinhardt Regular" w:hAnsi="Theinhardt Regular" w:cs="Theinhardt Regular"/>
          <w:color w:val="231F20"/>
          <w:spacing w:val="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betriebseigenen</w:t>
      </w:r>
      <w:r>
        <w:rPr>
          <w:rFonts w:ascii="Theinhardt Regular" w:eastAsia="Theinhardt Regular" w:hAnsi="Theinhardt Regular" w:cs="Theinhardt Regular"/>
          <w:color w:val="231F20"/>
          <w:spacing w:val="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E-Au-</w:t>
      </w:r>
      <w:r>
        <w:rPr>
          <w:rFonts w:ascii="Theinhardt Regular" w:eastAsia="Theinhardt Regular" w:hAnsi="Theinhardt Regular" w:cs="Theinhardt Regular"/>
          <w:color w:val="231F20"/>
          <w:spacing w:val="4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tos.</w:t>
      </w:r>
      <w:r>
        <w:rPr>
          <w:rFonts w:ascii="Theinhardt Regular" w:eastAsia="Theinhardt Regular" w:hAnsi="Theinhardt Regular" w:cs="Theinhardt Regular"/>
          <w:color w:val="231F20"/>
          <w:spacing w:val="-2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Sie</w:t>
      </w:r>
      <w:r>
        <w:rPr>
          <w:rFonts w:ascii="Theinhardt Regular" w:eastAsia="Theinhardt Regular" w:hAnsi="Theinhardt Regular" w:cs="Theinhardt Regular"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stehen</w:t>
      </w:r>
      <w:r>
        <w:rPr>
          <w:rFonts w:ascii="Theinhardt Regular" w:eastAsia="Theinhardt Regular" w:hAnsi="Theinhardt Regular" w:cs="Theinhardt Regular"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täglich</w:t>
      </w:r>
      <w:r>
        <w:rPr>
          <w:rFonts w:ascii="Theinhardt Regular" w:eastAsia="Theinhardt Regular" w:hAnsi="Theinhardt Regular" w:cs="Theinhardt Regular"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im</w:t>
      </w:r>
      <w:r>
        <w:rPr>
          <w:rFonts w:ascii="Theinhardt Regular" w:eastAsia="Theinhardt Regular" w:hAnsi="Theinhardt Regular" w:cs="Theinhardt Regular"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vollen</w:t>
      </w:r>
      <w:r>
        <w:rPr>
          <w:rFonts w:ascii="Theinhardt Regular" w:eastAsia="Theinhardt Regular" w:hAnsi="Theinhardt Regular" w:cs="Theinhardt Regular"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Einsatz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konsumieren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rund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17’300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kWh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für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ca.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93’000 km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pro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Jahr (≈ 18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kWh/100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km).</w:t>
      </w:r>
    </w:p>
    <w:p w14:paraId="5958DA24" w14:textId="77777777" w:rsidR="00163481" w:rsidRDefault="000A07D7">
      <w:pPr>
        <w:spacing w:line="232" w:lineRule="auto"/>
        <w:ind w:left="106" w:right="8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Dach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seiner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expressiven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Silhou-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ette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einer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Neigung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30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42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Grad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gegen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Süden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ist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einer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66.3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starken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PV-Anlage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 xml:space="preserve">versehen.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Sie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produziert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jährlich</w:t>
      </w:r>
      <w:r>
        <w:rPr>
          <w:rFonts w:ascii="Theinhardt Regular" w:eastAsia="Theinhardt Regular" w:hAnsi="Theinhardt Regular" w:cs="Theinhardt Regular"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rund 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76’800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kWh, 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zusammen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mit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den</w:t>
      </w:r>
    </w:p>
    <w:p w14:paraId="40B56DC5" w14:textId="77777777" w:rsidR="00163481" w:rsidRDefault="000A07D7">
      <w:pPr>
        <w:pStyle w:val="Textkrper"/>
        <w:spacing w:before="71" w:line="230" w:lineRule="exact"/>
        <w:ind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Construit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2019-2020,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nouveau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siège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société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Rhiienergie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situé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Kan-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tonsstrasse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Tamins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(GR),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abrite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bureaux,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entrepôts,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ateliers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garages.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lig-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sobres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modernes,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bâtiment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au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re-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vêtement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toit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PV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fond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l’environnement.</w:t>
      </w:r>
    </w:p>
    <w:p w14:paraId="0B40FE7A" w14:textId="77777777" w:rsidR="00163481" w:rsidRDefault="000A07D7">
      <w:pPr>
        <w:pStyle w:val="Textkrper"/>
        <w:spacing w:before="15" w:line="232" w:lineRule="auto"/>
        <w:jc w:val="both"/>
        <w:rPr>
          <w:i w:val="0"/>
        </w:rPr>
      </w:pPr>
      <w:r>
        <w:rPr>
          <w:color w:val="231F20"/>
        </w:rPr>
        <w:t>Grâce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une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bonne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isolation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d’épaisseur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toiture,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appareils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ména-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gers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efficients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éclairage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LED,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bâti-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consomme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100’600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surface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référence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énergétique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1’612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 xml:space="preserve">. </w:t>
      </w:r>
      <w:r>
        <w:rPr>
          <w:color w:val="231F20"/>
          <w:spacing w:val="-3"/>
        </w:rPr>
        <w:t>Les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véhicules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électriques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utilisent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plus 17’300  </w:t>
      </w:r>
      <w:r>
        <w:rPr>
          <w:color w:val="231F20"/>
          <w:spacing w:val="-2"/>
        </w:rPr>
        <w:t>kWh/a.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Ils </w:t>
      </w:r>
      <w:r>
        <w:rPr>
          <w:color w:val="231F20"/>
          <w:spacing w:val="-2"/>
        </w:rPr>
        <w:t>circulent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jours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parcourent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environ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93’000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km/a,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soit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quelque</w:t>
      </w:r>
      <w:r>
        <w:rPr>
          <w:color w:val="231F20"/>
        </w:rPr>
        <w:t xml:space="preserve"> 18 kWh/100 </w:t>
      </w:r>
      <w:r>
        <w:rPr>
          <w:color w:val="231F20"/>
          <w:spacing w:val="-1"/>
        </w:rPr>
        <w:t>km.</w:t>
      </w:r>
    </w:p>
    <w:p w14:paraId="576F54FA" w14:textId="77777777" w:rsidR="00163481" w:rsidRDefault="000A07D7">
      <w:pPr>
        <w:pStyle w:val="Textkrper"/>
        <w:spacing w:line="232" w:lineRule="auto"/>
        <w:ind w:right="5"/>
        <w:jc w:val="both"/>
        <w:rPr>
          <w:i w:val="0"/>
        </w:rPr>
      </w:pPr>
      <w:r>
        <w:rPr>
          <w:color w:val="231F20"/>
          <w:spacing w:val="-1"/>
        </w:rPr>
        <w:t>Visuellement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attractif,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incliné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degrés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sud,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toit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intègre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instal-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lation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PV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66,3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kWc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génère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76’800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10’200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fournis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façade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sud,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production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totale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s’élève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87’000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couvre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86%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des</w:t>
      </w:r>
    </w:p>
    <w:p w14:paraId="651BDFAC" w14:textId="77777777" w:rsidR="00163481" w:rsidRDefault="000A07D7">
      <w:pPr>
        <w:spacing w:before="67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7960B60D" w14:textId="77777777" w:rsidR="00163481" w:rsidRDefault="00163481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0E35187F" w14:textId="77777777" w:rsidR="00163481" w:rsidRDefault="000A07D7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64FAB92B">
          <v:group id="_x0000_s1043" style="width:167.25pt;height:.45pt;mso-position-horizontal-relative:char;mso-position-vertical-relative:line" coordsize="3345,9">
            <v:group id="_x0000_s1048" style="position:absolute;left:21;top:4;width:3311;height:2" coordorigin="21,4" coordsize="3311,2">
              <v:shape id="_x0000_s104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6" style="position:absolute;left:4;top:4;width:2;height:2" coordorigin="4,4" coordsize="2,2">
              <v:shape id="_x0000_s104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4" style="position:absolute;left:3341;top:4;width:2;height:2" coordorigin="3341,4" coordsize="2,2">
              <v:shape id="_x0000_s104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5F978B6" w14:textId="77777777" w:rsidR="00163481" w:rsidRDefault="000A07D7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6E9896E9" w14:textId="77777777" w:rsidR="00163481" w:rsidRDefault="000A07D7">
      <w:pPr>
        <w:tabs>
          <w:tab w:val="left" w:pos="1195"/>
          <w:tab w:val="left" w:pos="1788"/>
          <w:tab w:val="left" w:pos="2666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6EE25CB5" w14:textId="77777777" w:rsidR="00163481" w:rsidRDefault="000A07D7">
      <w:pPr>
        <w:tabs>
          <w:tab w:val="left" w:pos="1193"/>
          <w:tab w:val="left" w:pos="1788"/>
          <w:tab w:val="left" w:pos="2662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7D0B7387" w14:textId="77777777" w:rsidR="00163481" w:rsidRDefault="000A07D7">
      <w:pPr>
        <w:tabs>
          <w:tab w:val="left" w:pos="1075"/>
          <w:tab w:val="left" w:pos="1200"/>
          <w:tab w:val="left" w:pos="1788"/>
          <w:tab w:val="left" w:pos="2644"/>
        </w:tabs>
        <w:spacing w:before="5" w:line="207" w:lineRule="auto"/>
        <w:ind w:left="10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0.25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9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w w:val="95"/>
          <w:sz w:val="14"/>
        </w:rPr>
        <w:t>dreifach</w:t>
      </w:r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3"/>
          <w:sz w:val="14"/>
        </w:rPr>
        <w:t>0.75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3B5BF1E9" w14:textId="77777777" w:rsidR="00163481" w:rsidRDefault="000A07D7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515C58D3" w14:textId="77777777" w:rsidR="00163481" w:rsidRDefault="000A07D7">
      <w:pPr>
        <w:tabs>
          <w:tab w:val="left" w:pos="1694"/>
          <w:tab w:val="left" w:pos="2529"/>
          <w:tab w:val="left" w:pos="2992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1612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5EC8870B" w14:textId="77777777" w:rsidR="00163481" w:rsidRDefault="000A07D7">
      <w:pPr>
        <w:tabs>
          <w:tab w:val="left" w:pos="1987"/>
          <w:tab w:val="left" w:pos="2935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WP: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31.4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50.3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50’640</w:t>
      </w:r>
    </w:p>
    <w:p w14:paraId="4DF19C85" w14:textId="77777777" w:rsidR="00163481" w:rsidRDefault="000A07D7">
      <w:pPr>
        <w:tabs>
          <w:tab w:val="left" w:pos="1986"/>
          <w:tab w:val="left" w:pos="2933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31.0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49.7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50’040</w:t>
      </w:r>
    </w:p>
    <w:p w14:paraId="490E66E5" w14:textId="77777777" w:rsidR="00163481" w:rsidRDefault="000A07D7">
      <w:pPr>
        <w:tabs>
          <w:tab w:val="left" w:pos="1976"/>
        </w:tabs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62.4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100’680</w:t>
      </w:r>
    </w:p>
    <w:p w14:paraId="488E2B18" w14:textId="77777777" w:rsidR="00163481" w:rsidRDefault="000A07D7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111811A3" w14:textId="77777777" w:rsidR="00163481" w:rsidRDefault="000A07D7">
      <w:pPr>
        <w:tabs>
          <w:tab w:val="left" w:pos="885"/>
          <w:tab w:val="left" w:pos="1974"/>
          <w:tab w:val="left" w:pos="2490"/>
          <w:tab w:val="left" w:pos="2929"/>
        </w:tabs>
        <w:spacing w:before="6" w:line="207" w:lineRule="auto"/>
        <w:ind w:left="106" w:right="16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kWp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371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1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66.3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89.8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88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76’840</w:t>
      </w:r>
    </w:p>
    <w:p w14:paraId="63694C7D" w14:textId="77777777" w:rsidR="00163481" w:rsidRDefault="000A07D7">
      <w:pPr>
        <w:tabs>
          <w:tab w:val="left" w:pos="1375"/>
          <w:tab w:val="left" w:pos="1895"/>
          <w:tab w:val="left" w:pos="2500"/>
          <w:tab w:val="left" w:pos="2955"/>
        </w:tabs>
        <w:spacing w:line="167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PV-Fass.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S: 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96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8.8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106.4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12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10’210</w:t>
      </w:r>
    </w:p>
    <w:p w14:paraId="59A8530A" w14:textId="77777777" w:rsidR="00163481" w:rsidRDefault="000A07D7">
      <w:pPr>
        <w:tabs>
          <w:tab w:val="left" w:pos="2409"/>
          <w:tab w:val="left" w:pos="2961"/>
        </w:tabs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>100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87’050</w:t>
      </w:r>
    </w:p>
    <w:p w14:paraId="29869B99" w14:textId="77777777" w:rsidR="00163481" w:rsidRDefault="000A07D7">
      <w:pPr>
        <w:tabs>
          <w:tab w:val="left" w:pos="2213"/>
          <w:tab w:val="left" w:pos="2987"/>
        </w:tabs>
        <w:spacing w:line="160" w:lineRule="exact"/>
        <w:ind w:left="107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4"/>
          <w:szCs w:val="14"/>
        </w:rPr>
        <w:t>13%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PV-Fassadennutzung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≈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>86%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ab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87’000</w:t>
      </w:r>
    </w:p>
    <w:p w14:paraId="2C0C04D0" w14:textId="77777777" w:rsidR="00163481" w:rsidRDefault="000A07D7">
      <w:pPr>
        <w:tabs>
          <w:tab w:val="left" w:pos="2210"/>
          <w:tab w:val="left" w:pos="2923"/>
        </w:tabs>
        <w:spacing w:line="160" w:lineRule="exact"/>
        <w:ind w:left="107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29%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PV-Fassadennutzung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ab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4"/>
          <w:szCs w:val="14"/>
        </w:rPr>
        <w:t>≈100%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4"/>
          <w:szCs w:val="14"/>
        </w:rPr>
        <w:tab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102’300</w:t>
      </w:r>
    </w:p>
    <w:p w14:paraId="64217D4C" w14:textId="77777777" w:rsidR="00163481" w:rsidRDefault="000A07D7">
      <w:pPr>
        <w:tabs>
          <w:tab w:val="left" w:pos="2225"/>
          <w:tab w:val="left" w:pos="2928"/>
        </w:tabs>
        <w:spacing w:before="6" w:line="207" w:lineRule="auto"/>
        <w:ind w:left="107" w:right="108" w:hanging="1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Optimale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PV-Fassadennutzung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ab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4"/>
          <w:szCs w:val="14"/>
        </w:rPr>
        <w:t>≈154%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4"/>
          <w:szCs w:val="14"/>
        </w:rPr>
        <w:tab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4"/>
          <w:szCs w:val="14"/>
        </w:rPr>
        <w:t>155’000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(Optim.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PV-Nutzung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bedeutet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keine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PV-Nutzung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Erdgeschoss,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Fenstern,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Eingang,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etc.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4"/>
          <w:szCs w:val="14"/>
        </w:rPr>
        <w:t>(Art.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4"/>
          <w:szCs w:val="14"/>
        </w:rPr>
        <w:t>10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lit.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c NF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PEB-Reglement/Lex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>Cadosch)</w:t>
      </w:r>
    </w:p>
    <w:p w14:paraId="73D0AF5D" w14:textId="77777777" w:rsidR="00163481" w:rsidRDefault="00163481">
      <w:pPr>
        <w:spacing w:before="3"/>
        <w:rPr>
          <w:rFonts w:ascii="Theinhardt Regular Italic" w:eastAsia="Theinhardt Regular Italic" w:hAnsi="Theinhardt Regular Italic" w:cs="Theinhardt Regular Italic"/>
          <w:i/>
          <w:sz w:val="8"/>
          <w:szCs w:val="8"/>
        </w:rPr>
      </w:pPr>
    </w:p>
    <w:tbl>
      <w:tblPr>
        <w:tblStyle w:val="TableNormal"/>
        <w:tblW w:w="0" w:type="auto"/>
        <w:tblInd w:w="52" w:type="dxa"/>
        <w:tblLayout w:type="fixed"/>
        <w:tblLook w:val="01E0" w:firstRow="1" w:lastRow="1" w:firstColumn="1" w:lastColumn="1" w:noHBand="0" w:noVBand="0"/>
      </w:tblPr>
      <w:tblGrid>
        <w:gridCol w:w="2070"/>
        <w:gridCol w:w="631"/>
        <w:gridCol w:w="698"/>
      </w:tblGrid>
      <w:tr w:rsidR="00163481" w14:paraId="738EFE62" w14:textId="77777777">
        <w:trPr>
          <w:trHeight w:hRule="exact" w:val="11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7E46C10" w14:textId="77777777" w:rsidR="00163481" w:rsidRDefault="000A07D7">
            <w:pPr>
              <w:pStyle w:val="TableParagraph"/>
              <w:spacing w:line="112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1125D3C" w14:textId="77777777" w:rsidR="00163481" w:rsidRDefault="000A07D7">
            <w:pPr>
              <w:pStyle w:val="TableParagraph"/>
              <w:spacing w:line="112" w:lineRule="exact"/>
              <w:ind w:left="40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88F7BD9" w14:textId="77777777" w:rsidR="00163481" w:rsidRDefault="000A07D7">
            <w:pPr>
              <w:pStyle w:val="TableParagraph"/>
              <w:spacing w:line="112" w:lineRule="exact"/>
              <w:ind w:left="23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163481" w14:paraId="50D565C2" w14:textId="77777777">
        <w:trPr>
          <w:trHeight w:hRule="exact" w:val="15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FC1F701" w14:textId="77777777" w:rsidR="00163481" w:rsidRDefault="000A07D7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F2DAF83" w14:textId="77777777" w:rsidR="00163481" w:rsidRDefault="000A07D7">
            <w:pPr>
              <w:pStyle w:val="TableParagraph"/>
              <w:spacing w:line="159" w:lineRule="exact"/>
              <w:ind w:left="36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8</w:t>
            </w:r>
            <w:r>
              <w:rPr>
                <w:rFonts w:ascii="Theinhardt Bold"/>
                <w:b/>
                <w:color w:val="231F20"/>
                <w:sz w:val="14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6B31FBC" w14:textId="77777777" w:rsidR="00163481" w:rsidRDefault="000A07D7">
            <w:pPr>
              <w:pStyle w:val="TableParagraph"/>
              <w:spacing w:line="159" w:lineRule="exact"/>
              <w:ind w:left="17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87’050</w:t>
            </w:r>
          </w:p>
        </w:tc>
      </w:tr>
      <w:tr w:rsidR="00163481" w14:paraId="540FC86E" w14:textId="77777777">
        <w:trPr>
          <w:trHeight w:hRule="exact" w:val="1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5ADA410" w14:textId="77777777" w:rsidR="00163481" w:rsidRDefault="000A07D7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17BB276" w14:textId="77777777" w:rsidR="00163481" w:rsidRDefault="000A07D7">
            <w:pPr>
              <w:pStyle w:val="TableParagraph"/>
              <w:spacing w:line="160" w:lineRule="exact"/>
              <w:ind w:left="28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17A18A1" w14:textId="77777777" w:rsidR="00163481" w:rsidRDefault="000A07D7">
            <w:pPr>
              <w:pStyle w:val="TableParagraph"/>
              <w:spacing w:line="160" w:lineRule="exact"/>
              <w:ind w:left="94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4"/>
                <w:sz w:val="14"/>
                <w:szCs w:val="14"/>
              </w:rPr>
              <w:t>1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3"/>
                <w:sz w:val="14"/>
                <w:szCs w:val="14"/>
              </w:rPr>
              <w:t>0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2"/>
                <w:sz w:val="14"/>
                <w:szCs w:val="14"/>
              </w:rPr>
              <w:t>0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’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3"/>
                <w:sz w:val="14"/>
                <w:szCs w:val="14"/>
              </w:rPr>
              <w:t>6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2"/>
                <w:sz w:val="14"/>
                <w:szCs w:val="14"/>
              </w:rPr>
              <w:t>8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0</w:t>
            </w:r>
          </w:p>
        </w:tc>
      </w:tr>
      <w:tr w:rsidR="00163481" w14:paraId="09BCDF22" w14:textId="77777777">
        <w:trPr>
          <w:trHeight w:hRule="exact" w:val="18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C890C08" w14:textId="77777777" w:rsidR="00163481" w:rsidRDefault="000A07D7">
            <w:pPr>
              <w:pStyle w:val="TableParagraph"/>
              <w:spacing w:line="164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Fremdenergiezufuhr: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09F9A93" w14:textId="77777777" w:rsidR="00163481" w:rsidRDefault="000A07D7">
            <w:pPr>
              <w:pStyle w:val="TableParagraph"/>
              <w:spacing w:line="164" w:lineRule="exact"/>
              <w:ind w:left="37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3"/>
                <w:sz w:val="14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5F9C30E" w14:textId="77777777" w:rsidR="00163481" w:rsidRDefault="000A07D7">
            <w:pPr>
              <w:pStyle w:val="TableParagraph"/>
              <w:spacing w:line="164" w:lineRule="exact"/>
              <w:ind w:left="18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13’630</w:t>
            </w:r>
          </w:p>
        </w:tc>
      </w:tr>
    </w:tbl>
    <w:p w14:paraId="2DC8D652" w14:textId="77777777" w:rsidR="00163481" w:rsidRDefault="000A07D7">
      <w:pPr>
        <w:spacing w:before="17" w:line="160" w:lineRule="exact"/>
        <w:ind w:left="107" w:right="2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Rhiienergie</w:t>
      </w:r>
      <w:r>
        <w:rPr>
          <w:rFonts w:ascii="Theinhardt Bold" w:hAnsi="Theinhardt Bold"/>
          <w:b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z w:val="14"/>
        </w:rPr>
        <w:t xml:space="preserve">am 02. </w:t>
      </w:r>
      <w:r>
        <w:rPr>
          <w:rFonts w:ascii="Theinhardt Regular" w:hAnsi="Theinhardt Regular"/>
          <w:color w:val="231F20"/>
          <w:spacing w:val="1"/>
          <w:sz w:val="14"/>
        </w:rPr>
        <w:t>August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2021</w:t>
      </w:r>
      <w:r>
        <w:rPr>
          <w:rFonts w:ascii="Theinhardt Regular" w:hAnsi="Theinhardt Regular"/>
          <w:color w:val="231F20"/>
          <w:spacing w:val="38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Christian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Capaul,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81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650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50</w:t>
      </w:r>
    </w:p>
    <w:p w14:paraId="0CD2DFC2" w14:textId="77777777" w:rsidR="00163481" w:rsidRDefault="000A07D7">
      <w:pPr>
        <w:spacing w:before="105" w:line="122" w:lineRule="exact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019E9FC9">
          <v:group id="_x0000_s1041" style="position:absolute;left:0;text-align:left;margin-left:385.7pt;margin-top:16.5pt;width:.1pt;height:.1pt;z-index:-5800;mso-position-horizontal-relative:page" coordorigin="7714,330" coordsize="2,2">
            <v:shape id="_x0000_s1042" style="position:absolute;left:7714;top:330;width:2;height:2" coordorigin="7714,330" coordsize="0,0" path="m7714,330r,e" filled="f" strokecolor="#231f20" strokeweight=".14994mm">
              <v:path arrowok="t"/>
            </v:shape>
            <w10:wrap anchorx="page"/>
          </v:group>
        </w:pict>
      </w:r>
      <w:r>
        <w:pict w14:anchorId="3D64A17C">
          <v:group id="_x0000_s1039" style="position:absolute;left:0;text-align:left;margin-left:552.55pt;margin-top:16.5pt;width:.1pt;height:.1pt;z-index:1168;mso-position-horizontal-relative:page" coordorigin="11051,330" coordsize="2,2">
            <v:shape id="_x0000_s1040" style="position:absolute;left:11051;top:330;width:2;height:2" coordorigin="11051,330" coordsize="0,0" path="m11051,330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10DED265" w14:textId="77777777" w:rsidR="00163481" w:rsidRDefault="00163481">
      <w:pPr>
        <w:spacing w:line="122" w:lineRule="exact"/>
        <w:rPr>
          <w:rFonts w:ascii="Theinhardt Black" w:eastAsia="Theinhardt Black" w:hAnsi="Theinhardt Black" w:cs="Theinhardt Black"/>
          <w:sz w:val="14"/>
          <w:szCs w:val="14"/>
        </w:rPr>
        <w:sectPr w:rsidR="00163481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8"/>
            <w:col w:w="3460" w:space="112"/>
            <w:col w:w="3567"/>
          </w:cols>
        </w:sectPr>
      </w:pPr>
    </w:p>
    <w:p w14:paraId="4F3A3A04" w14:textId="77777777" w:rsidR="00163481" w:rsidRDefault="000A07D7">
      <w:pPr>
        <w:pStyle w:val="berschrift2"/>
        <w:spacing w:line="183" w:lineRule="exact"/>
      </w:pPr>
      <w:r>
        <w:rPr>
          <w:color w:val="231F20"/>
        </w:rPr>
        <w:t>10’200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Südfassade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insgesamt</w:t>
      </w:r>
    </w:p>
    <w:p w14:paraId="07D096AE" w14:textId="77777777" w:rsidR="00163481" w:rsidRDefault="000A07D7">
      <w:pPr>
        <w:pStyle w:val="Textkrper"/>
        <w:tabs>
          <w:tab w:val="left" w:pos="3699"/>
          <w:tab w:val="left" w:pos="7010"/>
        </w:tabs>
        <w:spacing w:line="183" w:lineRule="exact"/>
        <w:ind w:firstLine="0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1"/>
        </w:rPr>
        <w:t>besoins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énergétiques</w:t>
      </w:r>
      <w:r>
        <w:rPr>
          <w:color w:val="231F20"/>
        </w:rPr>
        <w:t xml:space="preserve"> du </w:t>
      </w:r>
      <w:r>
        <w:rPr>
          <w:color w:val="231F20"/>
          <w:spacing w:val="-1"/>
        </w:rPr>
        <w:t>nouveau</w:t>
      </w:r>
      <w:r>
        <w:rPr>
          <w:color w:val="231F20"/>
        </w:rPr>
        <w:t xml:space="preserve"> bâtiment.</w:t>
      </w:r>
      <w:r>
        <w:rPr>
          <w:color w:val="231F20"/>
        </w:rPr>
        <w:tab/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683141EA" w14:textId="77777777" w:rsidR="00163481" w:rsidRDefault="00163481">
      <w:pPr>
        <w:spacing w:line="183" w:lineRule="exact"/>
        <w:sectPr w:rsidR="00163481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2" w:space="119"/>
            <w:col w:w="7139"/>
          </w:cols>
        </w:sectPr>
      </w:pPr>
    </w:p>
    <w:p w14:paraId="44BA8A65" w14:textId="77777777" w:rsidR="00163481" w:rsidRDefault="000A07D7">
      <w:pPr>
        <w:pStyle w:val="berschrift2"/>
        <w:spacing w:before="13" w:line="232" w:lineRule="auto"/>
        <w:ind w:right="9"/>
        <w:jc w:val="both"/>
      </w:pPr>
      <w:r>
        <w:rPr>
          <w:color w:val="231F20"/>
        </w:rPr>
        <w:t>87’000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Jahr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deckt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86%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Energiebedarfs</w:t>
      </w:r>
      <w:r>
        <w:rPr>
          <w:color w:val="231F20"/>
        </w:rPr>
        <w:t xml:space="preserve"> des Neubaus.</w:t>
      </w:r>
    </w:p>
    <w:p w14:paraId="435C1D1B" w14:textId="77777777" w:rsidR="00163481" w:rsidRDefault="000A07D7">
      <w:pPr>
        <w:spacing w:line="232" w:lineRule="auto"/>
        <w:ind w:left="106" w:right="9" w:firstLine="226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insgesamt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solarnutzbare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Fassaden-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fläche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rund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(1’448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18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326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18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Fenster</w:t>
      </w:r>
    </w:p>
    <w:p w14:paraId="3FD57B89" w14:textId="77777777" w:rsidR="00163481" w:rsidRDefault="000A07D7">
      <w:pPr>
        <w:spacing w:line="232" w:lineRule="auto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≈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1’122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26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x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2/3*)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748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25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wird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96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26"/>
          <w:w w:val="104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zu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ca.</w:t>
      </w:r>
      <w:r>
        <w:rPr>
          <w:rFonts w:ascii="Theinhardt Regular" w:eastAsia="Theinhardt Regular" w:hAnsi="Theinhardt Regular" w:cs="Theinhardt Regular"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13%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genutzt.</w:t>
      </w:r>
      <w:r>
        <w:rPr>
          <w:rFonts w:ascii="Theinhardt Regular" w:eastAsia="Theinhardt Regular" w:hAnsi="Theinhardt Regular" w:cs="Theinhardt Regular"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Bei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optimaler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Solarnut-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zung**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könnten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statt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10’200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kWh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–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insge-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samt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([748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14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x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124.95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)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≈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93‘460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Fassadenstrom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generiert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werden.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Indessen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war</w:t>
      </w:r>
      <w:r>
        <w:rPr>
          <w:rFonts w:ascii="Theinhardt Regular" w:eastAsia="Theinhardt Regular" w:hAnsi="Theinhardt Regular" w:cs="Theinhardt Regular"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1.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Halbjahr</w:t>
      </w:r>
      <w:r>
        <w:rPr>
          <w:rFonts w:ascii="Theinhardt Regular" w:eastAsia="Theinhardt Regular" w:hAnsi="Theinhardt Regular" w:cs="Theinhardt Regular"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2020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sehr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sonnig,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2021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war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es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gegenteilig.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Diese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PV-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Fassaden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würden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78’200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PV-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Fassaden-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76’800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PV-Dach-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strom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einen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154%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PEB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155’000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gewährleisten.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einem</w:t>
      </w:r>
      <w:r>
        <w:rPr>
          <w:rFonts w:ascii="Theinhardt Regular" w:eastAsia="Theinhardt Regular" w:hAnsi="Theinhardt Regular" w:cs="Theinhardt Regular"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Solarstromüber-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schuss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(155‘000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100‘680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kWh/a)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≈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54‘320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könnten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jährlich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39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E-Autos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fahren.</w:t>
      </w:r>
      <w:r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ca.</w:t>
      </w:r>
      <w:r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216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24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(+29%)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grössere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Solarfassade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könnte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Betriebsgebäude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zum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emissionsfreien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PEB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(102’300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kWh/a)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verwandeln.***</w:t>
      </w:r>
    </w:p>
    <w:p w14:paraId="7BF111BB" w14:textId="77777777" w:rsidR="00163481" w:rsidRDefault="00163481">
      <w:pPr>
        <w:spacing w:before="4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6A422067" w14:textId="77777777" w:rsidR="00163481" w:rsidRDefault="000A07D7">
      <w:pPr>
        <w:spacing w:line="20" w:lineRule="atLeast"/>
        <w:ind w:left="104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3CEFEA8F">
          <v:group id="_x0000_s1036" style="width:111.05pt;height:.3pt;mso-position-horizontal-relative:char;mso-position-vertical-relative:line" coordsize="2221,6">
            <v:group id="_x0000_s1037" style="position:absolute;left:3;top:3;width:2216;height:2" coordorigin="3,3" coordsize="2216,2">
              <v:shape id="_x0000_s1038" style="position:absolute;left:3;top:3;width:2216;height:2" coordorigin="3,3" coordsize="2216,0" path="m3,3r2215,e" filled="f" strokecolor="#231f20" strokeweight=".27pt">
                <v:path arrowok="t"/>
              </v:shape>
            </v:group>
            <w10:anchorlock/>
          </v:group>
        </w:pict>
      </w:r>
    </w:p>
    <w:p w14:paraId="05E1F7CC" w14:textId="77777777" w:rsidR="00163481" w:rsidRDefault="000A07D7">
      <w:pPr>
        <w:spacing w:line="12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 xml:space="preserve">*   </w:t>
      </w:r>
      <w:r>
        <w:rPr>
          <w:rFonts w:ascii="Theinhardt Regular"/>
          <w:color w:val="231F20"/>
          <w:spacing w:val="22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Art.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10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z w:val="14"/>
        </w:rPr>
        <w:t>lit.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z w:val="14"/>
        </w:rPr>
        <w:t>c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z w:val="14"/>
        </w:rPr>
        <w:t>NF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z w:val="14"/>
        </w:rPr>
        <w:t>PEB-Reglement</w:t>
      </w:r>
    </w:p>
    <w:p w14:paraId="48EC018F" w14:textId="77777777" w:rsidR="00163481" w:rsidRDefault="000A07D7">
      <w:pPr>
        <w:spacing w:line="140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**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2"/>
          <w:sz w:val="14"/>
        </w:rPr>
        <w:t xml:space="preserve"> </w:t>
      </w:r>
      <w:r>
        <w:rPr>
          <w:rFonts w:ascii="Theinhardt Regular"/>
          <w:color w:val="231F20"/>
          <w:sz w:val="14"/>
        </w:rPr>
        <w:t>Schweizer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z w:val="14"/>
        </w:rPr>
        <w:t>Solarpreis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2020,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z w:val="14"/>
        </w:rPr>
        <w:t>S.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74</w:t>
      </w:r>
    </w:p>
    <w:p w14:paraId="2104AA7C" w14:textId="77777777" w:rsidR="00163481" w:rsidRDefault="000A07D7">
      <w:pPr>
        <w:spacing w:line="16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4"/>
          <w:sz w:val="14"/>
        </w:rPr>
        <w:t>***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Art.</w:t>
      </w:r>
      <w:r>
        <w:rPr>
          <w:rFonts w:ascii="Theinhardt Regular"/>
          <w:color w:val="231F20"/>
          <w:spacing w:val="-9"/>
          <w:sz w:val="14"/>
        </w:rPr>
        <w:t xml:space="preserve"> </w:t>
      </w:r>
      <w:r>
        <w:rPr>
          <w:rFonts w:ascii="Theinhardt Regular"/>
          <w:color w:val="231F20"/>
          <w:sz w:val="14"/>
        </w:rPr>
        <w:t>3 Abs.</w:t>
      </w:r>
      <w:r>
        <w:rPr>
          <w:rFonts w:ascii="Theinhardt Regular"/>
          <w:color w:val="231F20"/>
          <w:spacing w:val="-9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2 NF </w:t>
      </w:r>
      <w:r>
        <w:rPr>
          <w:rFonts w:ascii="Theinhardt Regular"/>
          <w:color w:val="231F20"/>
          <w:spacing w:val="-1"/>
          <w:sz w:val="14"/>
        </w:rPr>
        <w:t>PEB-Reglement</w:t>
      </w:r>
    </w:p>
    <w:p w14:paraId="4B0D213A" w14:textId="77777777" w:rsidR="00163481" w:rsidRDefault="000A07D7">
      <w:pPr>
        <w:pStyle w:val="Textkrper"/>
        <w:spacing w:before="13" w:line="232" w:lineRule="auto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2"/>
        </w:rPr>
        <w:t>La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surface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totale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façade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utilisable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soleil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d'environ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(1’448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5"/>
          <w:position w:val="6"/>
          <w:sz w:val="10"/>
          <w:szCs w:val="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326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7"/>
          <w:w w:val="104"/>
          <w:position w:val="6"/>
          <w:sz w:val="10"/>
          <w:szCs w:val="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fenêtre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≈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1’122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 xml:space="preserve">2 </w:t>
      </w:r>
      <w:r>
        <w:rPr>
          <w:color w:val="231F20"/>
        </w:rPr>
        <w:t>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2/3*)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748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Elle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utilisée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5"/>
          <w:position w:val="6"/>
          <w:sz w:val="10"/>
          <w:szCs w:val="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environ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13%.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une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utilisation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optimale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soleil**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au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lieu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10'200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([748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7"/>
          <w:position w:val="6"/>
          <w:sz w:val="10"/>
          <w:szCs w:val="1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124.95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kWh/m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2"/>
        </w:rPr>
        <w:t>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≈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93'460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d'électricité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façade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pourraient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être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générés.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Cependant,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premier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semestre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été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très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en-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soleillé,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était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contraire.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78’200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d'électricité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PV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façade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76’800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d'électricité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PV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toiture,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cellules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solaires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PV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assureraient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PEB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154%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155’000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excédent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d'électricité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(155’000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100’680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kWh/a)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≈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54’320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kWh/a,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39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voitures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élec-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triques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pourraient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être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conduits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annuelle-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façade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grande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d'environ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216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7"/>
          <w:position w:val="6"/>
          <w:sz w:val="10"/>
          <w:szCs w:val="10"/>
        </w:rPr>
        <w:t xml:space="preserve"> </w:t>
      </w:r>
      <w:r>
        <w:rPr>
          <w:color w:val="231F20"/>
        </w:rPr>
        <w:t>(+29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%)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pourrait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rendre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PEB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émissions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(102’300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kWh/a).***</w:t>
      </w:r>
    </w:p>
    <w:p w14:paraId="51C0812A" w14:textId="77777777" w:rsidR="00163481" w:rsidRDefault="00163481">
      <w:pPr>
        <w:spacing w:before="4"/>
        <w:rPr>
          <w:rFonts w:ascii="Theinhardt Regular Italic" w:eastAsia="Theinhardt Regular Italic" w:hAnsi="Theinhardt Regular Italic" w:cs="Theinhardt Regular Italic"/>
          <w:i/>
          <w:sz w:val="2"/>
          <w:szCs w:val="2"/>
        </w:rPr>
      </w:pPr>
    </w:p>
    <w:p w14:paraId="612812F4" w14:textId="77777777" w:rsidR="00163481" w:rsidRDefault="000A07D7">
      <w:pPr>
        <w:spacing w:line="20" w:lineRule="atLeast"/>
        <w:ind w:left="104"/>
        <w:rPr>
          <w:rFonts w:ascii="Theinhardt Regular Italic" w:eastAsia="Theinhardt Regular Italic" w:hAnsi="Theinhardt Regular Italic" w:cs="Theinhardt Regular Italic"/>
          <w:sz w:val="2"/>
          <w:szCs w:val="2"/>
        </w:rPr>
      </w:pPr>
      <w:r>
        <w:rPr>
          <w:rFonts w:ascii="Theinhardt Regular Italic" w:eastAsia="Theinhardt Regular Italic" w:hAnsi="Theinhardt Regular Italic" w:cs="Theinhardt Regular Italic"/>
          <w:sz w:val="2"/>
          <w:szCs w:val="2"/>
        </w:rPr>
      </w:r>
      <w:r>
        <w:rPr>
          <w:rFonts w:ascii="Theinhardt Regular Italic" w:eastAsia="Theinhardt Regular Italic" w:hAnsi="Theinhardt Regular Italic" w:cs="Theinhardt Regular Italic"/>
          <w:sz w:val="2"/>
          <w:szCs w:val="2"/>
        </w:rPr>
        <w:pict w14:anchorId="1B9458B2">
          <v:group id="_x0000_s1033" style="width:111.05pt;height:.3pt;mso-position-horizontal-relative:char;mso-position-vertical-relative:line" coordsize="2221,6">
            <v:group id="_x0000_s1034" style="position:absolute;left:3;top:3;width:2216;height:2" coordorigin="3,3" coordsize="2216,2">
              <v:shape id="_x0000_s1035" style="position:absolute;left:3;top:3;width:2216;height:2" coordorigin="3,3" coordsize="2216,0" path="m3,3r2215,e" filled="f" strokecolor="#231f20" strokeweight=".27pt">
                <v:path arrowok="t"/>
              </v:shape>
            </v:group>
            <w10:anchorlock/>
          </v:group>
        </w:pict>
      </w:r>
    </w:p>
    <w:p w14:paraId="596C0DA8" w14:textId="77777777" w:rsidR="00163481" w:rsidRDefault="000A07D7">
      <w:pPr>
        <w:spacing w:line="122" w:lineRule="exact"/>
        <w:ind w:left="106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 w:hAnsi="Theinhardt Regular Italic"/>
          <w:i/>
          <w:color w:val="231F20"/>
          <w:sz w:val="14"/>
        </w:rPr>
        <w:t xml:space="preserve">* </w:t>
      </w:r>
      <w:r>
        <w:rPr>
          <w:rFonts w:ascii="Theinhardt Regular Italic" w:hAnsi="Theinhardt Regular Italic"/>
          <w:i/>
          <w:color w:val="231F20"/>
          <w:spacing w:val="2"/>
          <w:sz w:val="14"/>
        </w:rPr>
        <w:t>Art.</w:t>
      </w:r>
      <w:r>
        <w:rPr>
          <w:rFonts w:ascii="Theinhardt Regular Italic" w:hAns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z w:val="14"/>
        </w:rPr>
        <w:t>10,</w:t>
      </w:r>
      <w:r>
        <w:rPr>
          <w:rFonts w:ascii="Theinhardt Regular Italic" w:hAns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z w:val="14"/>
        </w:rPr>
        <w:t>al.</w:t>
      </w:r>
      <w:r>
        <w:rPr>
          <w:rFonts w:ascii="Theinhardt Regular Italic" w:hAns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z w:val="14"/>
        </w:rPr>
        <w:t xml:space="preserve">c </w:t>
      </w:r>
      <w:r>
        <w:rPr>
          <w:rFonts w:ascii="Theinhardt Regular Italic" w:hAnsi="Theinhardt Regular Italic"/>
          <w:i/>
          <w:color w:val="231F20"/>
          <w:spacing w:val="-2"/>
          <w:sz w:val="14"/>
        </w:rPr>
        <w:t>Règlement</w:t>
      </w:r>
      <w:r>
        <w:rPr>
          <w:rFonts w:ascii="Theinhardt Regular Italic" w:hAnsi="Theinhardt Regular Italic"/>
          <w:i/>
          <w:color w:val="231F20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4"/>
        </w:rPr>
        <w:t>BEP</w:t>
      </w:r>
      <w:r>
        <w:rPr>
          <w:rFonts w:ascii="Theinhardt Regular Italic" w:hAnsi="Theinhardt Regular Italic"/>
          <w:i/>
          <w:color w:val="231F20"/>
          <w:sz w:val="14"/>
        </w:rPr>
        <w:t xml:space="preserve"> NF</w:t>
      </w:r>
    </w:p>
    <w:p w14:paraId="2154B8E7" w14:textId="77777777" w:rsidR="00163481" w:rsidRDefault="000A07D7">
      <w:pPr>
        <w:spacing w:line="140" w:lineRule="exact"/>
        <w:ind w:left="106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/>
          <w:i/>
          <w:color w:val="231F20"/>
          <w:sz w:val="14"/>
        </w:rPr>
        <w:t xml:space="preserve">** Prix </w:t>
      </w:r>
      <w:r>
        <w:rPr>
          <w:rFonts w:ascii="Theinhardt Regular Italic"/>
          <w:i/>
          <w:color w:val="231F20"/>
          <w:spacing w:val="-1"/>
          <w:sz w:val="14"/>
        </w:rPr>
        <w:t>Solaire</w:t>
      </w:r>
      <w:r>
        <w:rPr>
          <w:rFonts w:ascii="Theinhardt Regular Italic"/>
          <w:i/>
          <w:color w:val="231F20"/>
          <w:sz w:val="14"/>
        </w:rPr>
        <w:t xml:space="preserve"> </w:t>
      </w:r>
      <w:r>
        <w:rPr>
          <w:rFonts w:ascii="Theinhardt Regular Italic"/>
          <w:i/>
          <w:color w:val="231F20"/>
          <w:spacing w:val="-1"/>
          <w:sz w:val="14"/>
        </w:rPr>
        <w:t>Suisse</w:t>
      </w:r>
      <w:r>
        <w:rPr>
          <w:rFonts w:ascii="Theinhardt Regular Italic"/>
          <w:i/>
          <w:color w:val="231F20"/>
          <w:sz w:val="14"/>
        </w:rPr>
        <w:t xml:space="preserve"> 2020,</w:t>
      </w:r>
      <w:r>
        <w:rPr>
          <w:rFonts w:asci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/>
          <w:i/>
          <w:color w:val="231F20"/>
          <w:spacing w:val="-1"/>
          <w:sz w:val="14"/>
        </w:rPr>
        <w:t>p.</w:t>
      </w:r>
      <w:r>
        <w:rPr>
          <w:rFonts w:asci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/>
          <w:i/>
          <w:color w:val="231F20"/>
          <w:sz w:val="14"/>
        </w:rPr>
        <w:t>74</w:t>
      </w:r>
    </w:p>
    <w:p w14:paraId="4A464BB6" w14:textId="77777777" w:rsidR="00163481" w:rsidRDefault="000A07D7">
      <w:pPr>
        <w:spacing w:line="162" w:lineRule="exact"/>
        <w:ind w:left="106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 w:hAnsi="Theinhardt Regular Italic"/>
          <w:i/>
          <w:color w:val="231F20"/>
          <w:sz w:val="14"/>
        </w:rPr>
        <w:t xml:space="preserve">*** </w:t>
      </w:r>
      <w:r>
        <w:rPr>
          <w:rFonts w:ascii="Theinhardt Regular Italic" w:hAnsi="Theinhardt Regular Italic"/>
          <w:i/>
          <w:color w:val="231F20"/>
          <w:spacing w:val="2"/>
          <w:sz w:val="14"/>
        </w:rPr>
        <w:t>Art.</w:t>
      </w:r>
      <w:r>
        <w:rPr>
          <w:rFonts w:ascii="Theinhardt Regular Italic" w:hAns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z w:val="14"/>
        </w:rPr>
        <w:t>3,</w:t>
      </w:r>
      <w:r>
        <w:rPr>
          <w:rFonts w:ascii="Theinhardt Regular Italic" w:hAns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z w:val="14"/>
        </w:rPr>
        <w:t>al.</w:t>
      </w:r>
      <w:r>
        <w:rPr>
          <w:rFonts w:ascii="Theinhardt Regular Italic" w:hAnsi="Theinhardt Regular Italic"/>
          <w:i/>
          <w:color w:val="231F20"/>
          <w:spacing w:val="-6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z w:val="14"/>
        </w:rPr>
        <w:t xml:space="preserve">2 </w:t>
      </w:r>
      <w:r>
        <w:rPr>
          <w:rFonts w:ascii="Theinhardt Regular Italic" w:hAnsi="Theinhardt Regular Italic"/>
          <w:i/>
          <w:color w:val="231F20"/>
          <w:spacing w:val="-2"/>
          <w:sz w:val="14"/>
        </w:rPr>
        <w:t>Règlement</w:t>
      </w:r>
      <w:r>
        <w:rPr>
          <w:rFonts w:ascii="Theinhardt Regular Italic" w:hAnsi="Theinhardt Regular Italic"/>
          <w:i/>
          <w:color w:val="231F20"/>
          <w:sz w:val="14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4"/>
        </w:rPr>
        <w:t>BEP</w:t>
      </w:r>
      <w:r>
        <w:rPr>
          <w:rFonts w:ascii="Theinhardt Regular Italic" w:hAnsi="Theinhardt Regular Italic"/>
          <w:i/>
          <w:color w:val="231F20"/>
          <w:sz w:val="14"/>
        </w:rPr>
        <w:t xml:space="preserve"> NF</w:t>
      </w:r>
    </w:p>
    <w:p w14:paraId="05D35E23" w14:textId="77777777" w:rsidR="00163481" w:rsidRDefault="000A07D7">
      <w:pPr>
        <w:spacing w:line="140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18CF101A" w14:textId="77777777" w:rsidR="00163481" w:rsidRDefault="000A07D7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Rhiienergie</w:t>
      </w:r>
      <w:r>
        <w:rPr>
          <w:rFonts w:ascii="Theinhardt Regular"/>
          <w:color w:val="231F20"/>
          <w:sz w:val="14"/>
        </w:rPr>
        <w:t xml:space="preserve"> AG</w:t>
      </w:r>
    </w:p>
    <w:p w14:paraId="5AA96F70" w14:textId="77777777" w:rsidR="00163481" w:rsidRDefault="000A07D7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Energieweg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7015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Tamins</w:t>
      </w:r>
    </w:p>
    <w:p w14:paraId="31250C28" w14:textId="77777777" w:rsidR="00163481" w:rsidRDefault="000A07D7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650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 xml:space="preserve"> 50</w:t>
      </w:r>
      <w:hyperlink r:id="rId5">
        <w:r>
          <w:rPr>
            <w:rFonts w:ascii="Theinhardt Regular"/>
            <w:color w:val="231F20"/>
            <w:sz w:val="14"/>
          </w:rPr>
          <w:t xml:space="preserve">, </w:t>
        </w:r>
        <w:r>
          <w:rPr>
            <w:rFonts w:ascii="Theinhardt Regular"/>
            <w:color w:val="231F20"/>
            <w:spacing w:val="1"/>
            <w:sz w:val="14"/>
          </w:rPr>
          <w:t>info@rhiienergie.ch</w:t>
        </w:r>
      </w:hyperlink>
    </w:p>
    <w:p w14:paraId="755026A8" w14:textId="77777777" w:rsidR="00163481" w:rsidRDefault="000A07D7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1EE7E9DA" w14:textId="77777777" w:rsidR="00163481" w:rsidRDefault="000A07D7">
      <w:pPr>
        <w:spacing w:before="6" w:line="207" w:lineRule="auto"/>
        <w:ind w:left="10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Büro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Krucker,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Architekten</w:t>
      </w:r>
      <w:r>
        <w:rPr>
          <w:rFonts w:ascii="Theinhardt Regular" w:hAnsi="Theinhardt Regular"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pacing w:val="2"/>
          <w:sz w:val="14"/>
        </w:rPr>
        <w:t>ETH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BSA</w:t>
      </w:r>
      <w:r>
        <w:rPr>
          <w:rFonts w:ascii="Theinhardt Regular" w:hAnsi="Theinhardt Regular"/>
          <w:color w:val="231F20"/>
          <w:spacing w:val="27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Albisriederstrasse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232,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8047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42031C8C" w14:textId="77777777" w:rsidR="00163481" w:rsidRDefault="000A07D7">
      <w:pPr>
        <w:spacing w:line="167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43</w:t>
      </w:r>
      <w:r>
        <w:rPr>
          <w:rFonts w:ascii="Theinhardt Regular"/>
          <w:color w:val="231F20"/>
          <w:sz w:val="14"/>
        </w:rPr>
        <w:t xml:space="preserve"> 336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 xml:space="preserve"> 60</w:t>
      </w:r>
      <w:hyperlink r:id="rId6">
        <w:r>
          <w:rPr>
            <w:rFonts w:ascii="Theinhardt Regular"/>
            <w:color w:val="231F20"/>
            <w:sz w:val="14"/>
          </w:rPr>
          <w:t xml:space="preserve">, </w:t>
        </w:r>
        <w:r>
          <w:rPr>
            <w:rFonts w:ascii="Theinhardt Regular"/>
            <w:color w:val="231F20"/>
            <w:spacing w:val="1"/>
            <w:sz w:val="14"/>
          </w:rPr>
          <w:t>post@buerokrucker.ch</w:t>
        </w:r>
      </w:hyperlink>
    </w:p>
    <w:p w14:paraId="0C6B0439" w14:textId="77777777" w:rsidR="00163481" w:rsidRDefault="000A07D7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Bauleitung</w:t>
      </w:r>
    </w:p>
    <w:p w14:paraId="008DBEA0" w14:textId="77777777" w:rsidR="00163481" w:rsidRDefault="000A07D7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Fanzung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1"/>
          <w:sz w:val="14"/>
        </w:rPr>
        <w:t>Salvatorenstr.</w:t>
      </w:r>
      <w:r>
        <w:rPr>
          <w:rFonts w:ascii="Theinhardt Regular"/>
          <w:color w:val="231F20"/>
          <w:sz w:val="14"/>
        </w:rPr>
        <w:t xml:space="preserve"> 66, </w:t>
      </w:r>
      <w:r>
        <w:rPr>
          <w:rFonts w:ascii="Theinhardt Regular"/>
          <w:color w:val="231F20"/>
          <w:spacing w:val="1"/>
          <w:sz w:val="14"/>
        </w:rPr>
        <w:t>7000</w:t>
      </w:r>
      <w:r>
        <w:rPr>
          <w:rFonts w:ascii="Theinhardt Regular"/>
          <w:color w:val="231F20"/>
          <w:sz w:val="14"/>
        </w:rPr>
        <w:t xml:space="preserve"> Chur</w:t>
      </w:r>
    </w:p>
    <w:p w14:paraId="58D6B147" w14:textId="77777777" w:rsidR="00163481" w:rsidRDefault="000A07D7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58 </w:t>
      </w:r>
      <w:r>
        <w:rPr>
          <w:rFonts w:ascii="Theinhardt Regular"/>
          <w:color w:val="231F20"/>
          <w:spacing w:val="-5"/>
          <w:sz w:val="14"/>
        </w:rPr>
        <w:t>312</w:t>
      </w:r>
      <w:r>
        <w:rPr>
          <w:rFonts w:ascii="Theinhardt Regular"/>
          <w:color w:val="231F20"/>
          <w:spacing w:val="-21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88</w:t>
      </w:r>
      <w:r>
        <w:rPr>
          <w:rFonts w:ascii="Theinhardt Regular"/>
          <w:color w:val="231F20"/>
          <w:spacing w:val="-21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88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info@fanzun.swiss</w:t>
        </w:r>
      </w:hyperlink>
    </w:p>
    <w:p w14:paraId="3F5BD0A1" w14:textId="77777777" w:rsidR="00163481" w:rsidRDefault="000A07D7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Planer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Elektroinstallationen</w:t>
      </w:r>
    </w:p>
    <w:p w14:paraId="405F7BA4" w14:textId="77777777" w:rsidR="00163481" w:rsidRDefault="000A07D7">
      <w:pPr>
        <w:spacing w:before="6" w:line="207" w:lineRule="auto"/>
        <w:ind w:left="106" w:right="35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Brüniger</w:t>
      </w:r>
      <w:r>
        <w:rPr>
          <w:rFonts w:ascii="Theinhardt Regular" w:hAnsi="Theinhardt Regular"/>
          <w:color w:val="231F20"/>
          <w:sz w:val="14"/>
        </w:rPr>
        <w:t xml:space="preserve"> + </w:t>
      </w:r>
      <w:r>
        <w:rPr>
          <w:rFonts w:ascii="Theinhardt Regular" w:hAnsi="Theinhardt Regular"/>
          <w:color w:val="231F20"/>
          <w:spacing w:val="1"/>
          <w:sz w:val="14"/>
        </w:rPr>
        <w:t>Co.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1"/>
          <w:sz w:val="14"/>
        </w:rPr>
        <w:t>Kasernenstr.</w:t>
      </w:r>
      <w:r>
        <w:rPr>
          <w:rFonts w:ascii="Theinhardt Regular" w:hAnsi="Theinhardt Regular"/>
          <w:color w:val="231F20"/>
          <w:sz w:val="14"/>
        </w:rPr>
        <w:t xml:space="preserve"> 95, 7007 Chur</w:t>
      </w:r>
      <w:r>
        <w:rPr>
          <w:rFonts w:ascii="Theinhardt Regular" w:hAnsi="Theinhardt Regular"/>
          <w:color w:val="231F20"/>
          <w:spacing w:val="4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81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257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  <w:r>
        <w:rPr>
          <w:rFonts w:ascii="Theinhardt Regular" w:hAnsi="Theinhardt Regular"/>
          <w:color w:val="231F20"/>
          <w:sz w:val="14"/>
        </w:rPr>
        <w:t xml:space="preserve"> 20</w:t>
      </w:r>
      <w:hyperlink r:id="rId8">
        <w:r>
          <w:rPr>
            <w:rFonts w:ascii="Theinhardt Regular" w:hAnsi="Theinhardt Regular"/>
            <w:color w:val="231F20"/>
            <w:sz w:val="14"/>
          </w:rPr>
          <w:t xml:space="preserve">,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info@brueniger.com</w:t>
        </w:r>
      </w:hyperlink>
    </w:p>
    <w:p w14:paraId="2A172389" w14:textId="77777777" w:rsidR="00163481" w:rsidRDefault="000A07D7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Montage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Fassadenmodule</w:t>
      </w:r>
    </w:p>
    <w:p w14:paraId="54BB1A42" w14:textId="77777777" w:rsidR="00163481" w:rsidRDefault="000A07D7">
      <w:pPr>
        <w:spacing w:before="6" w:line="207" w:lineRule="auto"/>
        <w:ind w:left="10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Meli</w:t>
      </w:r>
      <w:r>
        <w:rPr>
          <w:rFonts w:ascii="Theinhardt Regular" w:hAnsi="Theinhardt Regular"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pacing w:val="1"/>
          <w:sz w:val="14"/>
        </w:rPr>
        <w:t>Gebäudehüllen,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Ringstrasse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14,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7000</w:t>
      </w:r>
      <w:r>
        <w:rPr>
          <w:rFonts w:ascii="Theinhardt Regular" w:hAnsi="Theinhardt Regular"/>
          <w:color w:val="231F20"/>
          <w:sz w:val="14"/>
        </w:rPr>
        <w:t xml:space="preserve"> Chur</w:t>
      </w:r>
      <w:r>
        <w:rPr>
          <w:rFonts w:ascii="Theinhardt Regular" w:hAnsi="Theinhardt Regular"/>
          <w:color w:val="231F20"/>
          <w:spacing w:val="44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81</w:t>
      </w:r>
      <w:r>
        <w:rPr>
          <w:rFonts w:ascii="Theinhardt Regular" w:hAnsi="Theinhardt Regular"/>
          <w:color w:val="231F20"/>
          <w:sz w:val="14"/>
        </w:rPr>
        <w:t xml:space="preserve"> 286 93 3</w:t>
      </w:r>
      <w:hyperlink r:id="rId9">
        <w:r>
          <w:rPr>
            <w:rFonts w:ascii="Theinhardt Regular" w:hAnsi="Theinhardt Regular"/>
            <w:color w:val="231F20"/>
            <w:sz w:val="14"/>
          </w:rPr>
          <w:t xml:space="preserve">3, </w:t>
        </w:r>
        <w:r>
          <w:rPr>
            <w:rFonts w:ascii="Theinhardt Regular" w:hAnsi="Theinhardt Regular"/>
            <w:color w:val="231F20"/>
            <w:spacing w:val="1"/>
            <w:sz w:val="14"/>
          </w:rPr>
          <w:t>melichur@meli-ag.ch</w:t>
        </w:r>
      </w:hyperlink>
    </w:p>
    <w:p w14:paraId="28EB2780" w14:textId="77777777" w:rsidR="00163481" w:rsidRDefault="000A07D7">
      <w:pPr>
        <w:spacing w:before="38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Montage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Dachmodule</w:t>
      </w:r>
    </w:p>
    <w:p w14:paraId="605724F3" w14:textId="77777777" w:rsidR="00163481" w:rsidRDefault="000A07D7">
      <w:pPr>
        <w:spacing w:before="6" w:line="207" w:lineRule="auto"/>
        <w:ind w:left="10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251B5FA2">
          <v:group id="_x0000_s1026" style="position:absolute;left:0;text-align:left;margin-left:385.5pt;margin-top:18.4pt;width:167.25pt;height:.45pt;z-index:1192;mso-position-horizontal-relative:page" coordorigin="7710,368" coordsize="3345,9">
            <v:group id="_x0000_s1031" style="position:absolute;left:7732;top:372;width:3311;height:2" coordorigin="7732,372" coordsize="3311,2">
              <v:shape id="_x0000_s1032" style="position:absolute;left:7732;top:372;width:3311;height:2" coordorigin="7732,372" coordsize="3311,0" path="m7732,372r3310,e" filled="f" strokecolor="#231f20" strokeweight=".14994mm">
                <v:stroke dashstyle="dash"/>
                <v:path arrowok="t"/>
              </v:shape>
            </v:group>
            <v:group id="_x0000_s1029" style="position:absolute;left:7714;top:372;width:2;height:2" coordorigin="7714,372" coordsize="2,2">
              <v:shape id="_x0000_s1030" style="position:absolute;left:7714;top:372;width:2;height:2" coordorigin="7714,372" coordsize="0,0" path="m7714,372r,e" filled="f" strokecolor="#231f20" strokeweight=".14994mm">
                <v:path arrowok="t"/>
              </v:shape>
            </v:group>
            <v:group id="_x0000_s1027" style="position:absolute;left:11051;top:372;width:2;height:2" coordorigin="11051,372" coordsize="2,2">
              <v:shape id="_x0000_s1028" style="position:absolute;left:11051;top:372;width:2;height:2" coordorigin="11051,372" coordsize="0,0" path="m11051,372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Regular"/>
          <w:color w:val="231F20"/>
          <w:spacing w:val="2"/>
          <w:sz w:val="14"/>
        </w:rPr>
        <w:t>Hassler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Energia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Alternativa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1"/>
          <w:sz w:val="14"/>
        </w:rPr>
        <w:t>Resgia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13,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7432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Zillis</w:t>
      </w:r>
      <w:r>
        <w:rPr>
          <w:rFonts w:ascii="Theinhardt Regular"/>
          <w:color w:val="231F20"/>
          <w:spacing w:val="4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650</w:t>
      </w:r>
      <w:r>
        <w:rPr>
          <w:rFonts w:ascii="Theinhardt Regular"/>
          <w:color w:val="231F20"/>
          <w:sz w:val="14"/>
        </w:rPr>
        <w:t xml:space="preserve"> 77 </w:t>
      </w:r>
      <w:r>
        <w:rPr>
          <w:rFonts w:ascii="Theinhardt Regular"/>
          <w:color w:val="231F20"/>
          <w:spacing w:val="-4"/>
          <w:sz w:val="14"/>
        </w:rPr>
        <w:t>77</w:t>
      </w:r>
      <w:hyperlink r:id="rId10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info@hassler-energia.ch.</w:t>
        </w:r>
      </w:hyperlink>
    </w:p>
    <w:p w14:paraId="0A317B1D" w14:textId="77777777" w:rsidR="00163481" w:rsidRDefault="00163481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</w:rPr>
        <w:sectPr w:rsidR="00163481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8"/>
            <w:col w:w="3460" w:space="113"/>
            <w:col w:w="3566"/>
          </w:cols>
        </w:sectPr>
      </w:pPr>
    </w:p>
    <w:p w14:paraId="274CAC2D" w14:textId="77777777" w:rsidR="00163481" w:rsidRDefault="00163481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3760D5E" w14:textId="77777777" w:rsidR="00163481" w:rsidRDefault="00163481">
      <w:pPr>
        <w:spacing w:before="10"/>
        <w:rPr>
          <w:rFonts w:ascii="Theinhardt Regular" w:eastAsia="Theinhardt Regular" w:hAnsi="Theinhardt Regular" w:cs="Theinhardt Regular"/>
          <w:sz w:val="15"/>
          <w:szCs w:val="15"/>
        </w:rPr>
      </w:pPr>
    </w:p>
    <w:p w14:paraId="22EBB2E1" w14:textId="77777777" w:rsidR="00163481" w:rsidRDefault="000A07D7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68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p w14:paraId="473A3283" w14:textId="77777777" w:rsidR="00163481" w:rsidRDefault="00163481">
      <w:pPr>
        <w:rPr>
          <w:rFonts w:ascii="Theinhardt Regular" w:eastAsia="Theinhardt Regular" w:hAnsi="Theinhardt Regular" w:cs="Theinhardt Regular"/>
          <w:sz w:val="14"/>
          <w:szCs w:val="14"/>
        </w:rPr>
        <w:sectPr w:rsidR="00163481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EB09E17" w14:textId="77777777" w:rsidR="00163481" w:rsidRDefault="00163481">
      <w:pPr>
        <w:spacing w:before="4"/>
        <w:rPr>
          <w:rFonts w:ascii="Theinhardt Regular" w:eastAsia="Theinhardt Regular" w:hAnsi="Theinhardt Regular" w:cs="Theinhardt Regular"/>
          <w:sz w:val="6"/>
          <w:szCs w:val="6"/>
        </w:rPr>
      </w:pPr>
    </w:p>
    <w:p w14:paraId="78AD8B4E" w14:textId="77777777" w:rsidR="00163481" w:rsidRDefault="000A07D7">
      <w:pPr>
        <w:spacing w:line="200" w:lineRule="atLeast"/>
        <w:ind w:left="1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2630A1D2" wp14:editId="32BCB235">
            <wp:extent cx="6627210" cy="5536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210" cy="553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1CF5" w14:textId="77777777" w:rsidR="00163481" w:rsidRDefault="000A07D7">
      <w:pPr>
        <w:spacing w:before="59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2F51B2F4" w14:textId="77777777" w:rsidR="00163481" w:rsidRDefault="00163481">
      <w:pPr>
        <w:spacing w:before="6"/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p w14:paraId="6C4B0D36" w14:textId="77777777" w:rsidR="00163481" w:rsidRDefault="000A07D7">
      <w:pPr>
        <w:tabs>
          <w:tab w:val="left" w:pos="5467"/>
        </w:tabs>
        <w:spacing w:line="200" w:lineRule="atLeast"/>
        <w:ind w:left="110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/>
          <w:noProof/>
          <w:sz w:val="20"/>
        </w:rPr>
        <w:drawing>
          <wp:inline distT="0" distB="0" distL="0" distR="0" wp14:anchorId="0C0D6895" wp14:editId="7971E0FC">
            <wp:extent cx="3259975" cy="22783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97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  <w:tab/>
      </w:r>
      <w:r>
        <w:rPr>
          <w:rFonts w:ascii="Theinhardt Bold"/>
          <w:noProof/>
          <w:sz w:val="20"/>
        </w:rPr>
        <w:drawing>
          <wp:inline distT="0" distB="0" distL="0" distR="0" wp14:anchorId="20D120FB" wp14:editId="11EAF35C">
            <wp:extent cx="3262155" cy="22799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155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B0E7" w14:textId="77777777" w:rsidR="00163481" w:rsidRDefault="000A07D7">
      <w:pPr>
        <w:tabs>
          <w:tab w:val="left" w:pos="5480"/>
        </w:tabs>
        <w:spacing w:before="12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b/>
          <w:color w:val="231F20"/>
          <w:sz w:val="14"/>
        </w:rPr>
        <w:tab/>
        <w:t>3</w:t>
      </w:r>
    </w:p>
    <w:p w14:paraId="30FD5121" w14:textId="77777777" w:rsidR="00163481" w:rsidRDefault="0016348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11E3635" w14:textId="77777777" w:rsidR="00163481" w:rsidRDefault="0016348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F125336" w14:textId="77777777" w:rsidR="00163481" w:rsidRDefault="0016348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D0F3527" w14:textId="77777777" w:rsidR="00163481" w:rsidRDefault="00163481">
      <w:pPr>
        <w:spacing w:before="11"/>
        <w:rPr>
          <w:rFonts w:ascii="Theinhardt Bold" w:eastAsia="Theinhardt Bold" w:hAnsi="Theinhardt Bold" w:cs="Theinhardt Bold"/>
          <w:b/>
          <w:bCs/>
          <w:sz w:val="27"/>
          <w:szCs w:val="27"/>
        </w:rPr>
      </w:pPr>
    </w:p>
    <w:p w14:paraId="4B770C2F" w14:textId="77777777" w:rsidR="00163481" w:rsidRDefault="00163481">
      <w:pPr>
        <w:rPr>
          <w:rFonts w:ascii="Theinhardt Bold" w:eastAsia="Theinhardt Bold" w:hAnsi="Theinhardt Bold" w:cs="Theinhardt Bold"/>
          <w:sz w:val="27"/>
          <w:szCs w:val="27"/>
        </w:rPr>
        <w:sectPr w:rsidR="00163481">
          <w:pgSz w:w="11910" w:h="16840"/>
          <w:pgMar w:top="860" w:right="460" w:bottom="280" w:left="740" w:header="720" w:footer="720" w:gutter="0"/>
          <w:cols w:space="720"/>
        </w:sectPr>
      </w:pPr>
    </w:p>
    <w:p w14:paraId="311B3A05" w14:textId="77777777" w:rsidR="00163481" w:rsidRDefault="000A07D7">
      <w:pPr>
        <w:numPr>
          <w:ilvl w:val="0"/>
          <w:numId w:val="1"/>
        </w:numPr>
        <w:tabs>
          <w:tab w:val="left" w:pos="335"/>
        </w:tabs>
        <w:spacing w:before="76"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neue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Betriebsgebäude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Rhiienergie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AG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Tamins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fügt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sich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gut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Umgebung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2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PV-Dach-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Fassadenanlage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5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zusammen rund 87’000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7C8DAE93" w14:textId="77777777" w:rsidR="00163481" w:rsidRDefault="000A07D7">
      <w:pPr>
        <w:numPr>
          <w:ilvl w:val="0"/>
          <w:numId w:val="1"/>
        </w:numPr>
        <w:tabs>
          <w:tab w:val="left" w:pos="335"/>
        </w:tabs>
        <w:spacing w:before="76"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z w:val="14"/>
        </w:rPr>
        <w:t>Mit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einer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PV-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statt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Holzverschalung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könnte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das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Betriebsgebäude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neu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als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PEB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mit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29%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(statt</w:t>
      </w:r>
      <w:r>
        <w:rPr>
          <w:rFonts w:ascii="Theinhardt Bold" w:hAnsi="Theinhardt Bold"/>
          <w:b/>
          <w:color w:val="231F20"/>
          <w:spacing w:val="2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13%)</w:t>
      </w:r>
      <w:r>
        <w:rPr>
          <w:rFonts w:ascii="Theinhardt Bold" w:hAnsi="Theinhardt Bold"/>
          <w:b/>
          <w:color w:val="231F20"/>
          <w:spacing w:val="-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solarer</w:t>
      </w:r>
      <w:r>
        <w:rPr>
          <w:rFonts w:ascii="Theinhardt Bold" w:hAnsi="Theinhardt Bold"/>
          <w:b/>
          <w:color w:val="231F20"/>
          <w:spacing w:val="-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Fassadennutzung</w:t>
      </w:r>
      <w:r>
        <w:rPr>
          <w:rFonts w:ascii="Theinhardt Bold" w:hAnsi="Theinhardt Bold"/>
          <w:b/>
          <w:color w:val="231F20"/>
          <w:spacing w:val="-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pacing w:val="-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Gesamtener-</w:t>
      </w:r>
      <w:r>
        <w:rPr>
          <w:rFonts w:ascii="Theinhardt Bold" w:hAnsi="Theinhardt Bold"/>
          <w:b/>
          <w:color w:val="231F20"/>
          <w:spacing w:val="2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giebedarf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decken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oder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als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154%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PEB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jährlich</w:t>
      </w:r>
      <w:r>
        <w:rPr>
          <w:rFonts w:ascii="Theinhardt Bold" w:hAnsi="Theinhardt Bold"/>
          <w:b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noch etwa 39 E-Autos </w:t>
      </w:r>
      <w:r>
        <w:rPr>
          <w:rFonts w:ascii="Theinhardt Bold" w:hAnsi="Theinhardt Bold"/>
          <w:b/>
          <w:color w:val="231F20"/>
          <w:spacing w:val="-1"/>
          <w:sz w:val="14"/>
        </w:rPr>
        <w:t>emissionsfrei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versorgen.</w:t>
      </w:r>
    </w:p>
    <w:p w14:paraId="626F38A8" w14:textId="77777777" w:rsidR="00163481" w:rsidRDefault="000A07D7">
      <w:pPr>
        <w:numPr>
          <w:ilvl w:val="0"/>
          <w:numId w:val="1"/>
        </w:numPr>
        <w:tabs>
          <w:tab w:val="left" w:pos="335"/>
        </w:tabs>
        <w:spacing w:before="76" w:line="160" w:lineRule="exact"/>
        <w:ind w:right="10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dachintegrierte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66.3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produziert</w:t>
      </w:r>
      <w:r>
        <w:rPr>
          <w:rFonts w:ascii="Theinhardt Bold" w:eastAsia="Theinhardt Bold" w:hAnsi="Theinhardt Bold" w:cs="Theinhardt Bold"/>
          <w:b/>
          <w:bCs/>
          <w:color w:val="231F20"/>
          <w:spacing w:val="5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76’800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Südfassade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integrierte</w:t>
      </w:r>
    </w:p>
    <w:p w14:paraId="5FDD7D97" w14:textId="77777777" w:rsidR="00163481" w:rsidRDefault="000A07D7">
      <w:pPr>
        <w:spacing w:line="177" w:lineRule="exact"/>
        <w:ind w:left="33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8.8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produziert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10’200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kWh/a.</w:t>
      </w:r>
    </w:p>
    <w:p w14:paraId="4F27EDA9" w14:textId="77777777" w:rsidR="00163481" w:rsidRDefault="00163481">
      <w:pPr>
        <w:spacing w:line="177" w:lineRule="exact"/>
        <w:rPr>
          <w:rFonts w:ascii="Theinhardt Bold" w:eastAsia="Theinhardt Bold" w:hAnsi="Theinhardt Bold" w:cs="Theinhardt Bold"/>
          <w:sz w:val="14"/>
          <w:szCs w:val="14"/>
        </w:rPr>
        <w:sectPr w:rsidR="00163481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53" w:space="118"/>
            <w:col w:w="3453" w:space="118"/>
            <w:col w:w="3568"/>
          </w:cols>
        </w:sectPr>
      </w:pPr>
    </w:p>
    <w:p w14:paraId="49D54423" w14:textId="77777777" w:rsidR="00163481" w:rsidRDefault="00163481">
      <w:pPr>
        <w:spacing w:before="11"/>
        <w:rPr>
          <w:rFonts w:ascii="Theinhardt Bold" w:eastAsia="Theinhardt Bold" w:hAnsi="Theinhardt Bold" w:cs="Theinhardt Bold"/>
          <w:b/>
          <w:bCs/>
          <w:sz w:val="25"/>
          <w:szCs w:val="25"/>
        </w:rPr>
      </w:pPr>
    </w:p>
    <w:p w14:paraId="15A3C118" w14:textId="77777777" w:rsidR="00163481" w:rsidRDefault="000A07D7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69</w:t>
      </w:r>
    </w:p>
    <w:sectPr w:rsidR="00163481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37E4"/>
    <w:multiLevelType w:val="hybridMultilevel"/>
    <w:tmpl w:val="B700F95C"/>
    <w:lvl w:ilvl="0" w:tplc="0A72016E">
      <w:start w:val="1"/>
      <w:numFmt w:val="decimal"/>
      <w:lvlText w:val="%1"/>
      <w:lvlJc w:val="left"/>
      <w:pPr>
        <w:ind w:left="334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43FA1F92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 w:tplc="A2FC1E30">
      <w:start w:val="1"/>
      <w:numFmt w:val="bullet"/>
      <w:lvlText w:val="•"/>
      <w:lvlJc w:val="left"/>
      <w:pPr>
        <w:ind w:left="958" w:hanging="227"/>
      </w:pPr>
      <w:rPr>
        <w:rFonts w:hint="default"/>
      </w:rPr>
    </w:lvl>
    <w:lvl w:ilvl="3" w:tplc="95E4E7B0">
      <w:start w:val="1"/>
      <w:numFmt w:val="bullet"/>
      <w:lvlText w:val="•"/>
      <w:lvlJc w:val="left"/>
      <w:pPr>
        <w:ind w:left="1270" w:hanging="227"/>
      </w:pPr>
      <w:rPr>
        <w:rFonts w:hint="default"/>
      </w:rPr>
    </w:lvl>
    <w:lvl w:ilvl="4" w:tplc="07C2F96A">
      <w:start w:val="1"/>
      <w:numFmt w:val="bullet"/>
      <w:lvlText w:val="•"/>
      <w:lvlJc w:val="left"/>
      <w:pPr>
        <w:ind w:left="1581" w:hanging="227"/>
      </w:pPr>
      <w:rPr>
        <w:rFonts w:hint="default"/>
      </w:rPr>
    </w:lvl>
    <w:lvl w:ilvl="5" w:tplc="F32CA1B0">
      <w:start w:val="1"/>
      <w:numFmt w:val="bullet"/>
      <w:lvlText w:val="•"/>
      <w:lvlJc w:val="left"/>
      <w:pPr>
        <w:ind w:left="1893" w:hanging="227"/>
      </w:pPr>
      <w:rPr>
        <w:rFonts w:hint="default"/>
      </w:rPr>
    </w:lvl>
    <w:lvl w:ilvl="6" w:tplc="43DCC0A4">
      <w:start w:val="1"/>
      <w:numFmt w:val="bullet"/>
      <w:lvlText w:val="•"/>
      <w:lvlJc w:val="left"/>
      <w:pPr>
        <w:ind w:left="2205" w:hanging="227"/>
      </w:pPr>
      <w:rPr>
        <w:rFonts w:hint="default"/>
      </w:rPr>
    </w:lvl>
    <w:lvl w:ilvl="7" w:tplc="D876A1A6">
      <w:start w:val="1"/>
      <w:numFmt w:val="bullet"/>
      <w:lvlText w:val="•"/>
      <w:lvlJc w:val="left"/>
      <w:pPr>
        <w:ind w:left="2517" w:hanging="227"/>
      </w:pPr>
      <w:rPr>
        <w:rFonts w:hint="default"/>
      </w:rPr>
    </w:lvl>
    <w:lvl w:ilvl="8" w:tplc="FD58DF46">
      <w:start w:val="1"/>
      <w:numFmt w:val="bullet"/>
      <w:lvlText w:val="•"/>
      <w:lvlJc w:val="left"/>
      <w:pPr>
        <w:ind w:left="282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81"/>
    <w:rsid w:val="000A07D7"/>
    <w:rsid w:val="001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4:docId w14:val="37F62AA1"/>
  <w15:docId w15:val="{D4402A49-DB1A-4C75-AAD3-EEDA2A2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28"/>
      <w:ind w:left="106"/>
      <w:outlineLvl w:val="0"/>
    </w:pPr>
    <w:rPr>
      <w:rFonts w:ascii="Theinhardt Bold" w:eastAsia="Theinhardt Bold" w:hAnsi="Theinhardt Bold"/>
      <w:b/>
      <w:bCs/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ind w:left="106"/>
      <w:outlineLvl w:val="1"/>
    </w:pPr>
    <w:rPr>
      <w:rFonts w:ascii="Theinhardt Regular" w:eastAsia="Theinhardt Regular" w:hAnsi="Theinhardt Regular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 w:firstLine="226"/>
    </w:pPr>
    <w:rPr>
      <w:rFonts w:ascii="Theinhardt Regular Italic" w:eastAsia="Theinhardt Regular Italic" w:hAnsi="Theinhardt Regular Italic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ueniger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fanzun.swis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buerokrucker.ch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info@rhiienergie.ch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hassler-energi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chur@meli-ag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2021-10-19T13:50:00Z</dcterms:created>
  <dcterms:modified xsi:type="dcterms:W3CDTF">2021-10-19T11:51:00Z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